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cs="宋体"/>
          <w:b/>
          <w:kern w:val="0"/>
          <w:sz w:val="44"/>
          <w:szCs w:val="44"/>
          <w:highlight w:val="none"/>
        </w:rPr>
      </w:pPr>
      <w:bookmarkStart w:id="0" w:name="_Toc506107265"/>
      <w:bookmarkStart w:id="1" w:name="_Toc247085669"/>
      <w:bookmarkStart w:id="2" w:name="_Toc296602400"/>
      <w:bookmarkStart w:id="3" w:name="_Toc246996898"/>
      <w:bookmarkStart w:id="4" w:name="_Toc15058843"/>
      <w:bookmarkStart w:id="5" w:name="_Toc324404811"/>
      <w:bookmarkStart w:id="6" w:name="_Toc461631222"/>
      <w:bookmarkStart w:id="7" w:name="OLE_LINK4"/>
      <w:bookmarkStart w:id="8" w:name="OLE_LINK5"/>
      <w:bookmarkStart w:id="9" w:name="OLE_LINK3"/>
      <w:bookmarkStart w:id="10" w:name="OLE_LINK1"/>
      <w:bookmarkStart w:id="11" w:name="OLE_LINK2"/>
    </w:p>
    <w:p>
      <w:pPr>
        <w:pStyle w:val="14"/>
        <w:ind w:firstLine="420"/>
        <w:rPr>
          <w:highlight w:val="none"/>
        </w:rPr>
      </w:pPr>
    </w:p>
    <w:p>
      <w:pPr>
        <w:jc w:val="center"/>
        <w:rPr>
          <w:rFonts w:ascii="宋体" w:hAnsi="宋体"/>
          <w:color w:val="auto"/>
          <w:sz w:val="180"/>
          <w:szCs w:val="180"/>
          <w:highlight w:val="none"/>
        </w:rPr>
      </w:pPr>
      <w:r>
        <w:rPr>
          <w:rFonts w:hint="eastAsia" w:hAnsi="宋体" w:cs="宋体"/>
          <w:b/>
          <w:color w:val="auto"/>
          <w:kern w:val="0"/>
          <w:sz w:val="52"/>
          <w:szCs w:val="52"/>
          <w:highlight w:val="none"/>
          <w:lang w:eastAsia="zh-CN"/>
        </w:rPr>
        <w:t>兴天矿业柴油发电机房土建工程施工</w:t>
      </w:r>
    </w:p>
    <w:p>
      <w:pPr>
        <w:pStyle w:val="14"/>
        <w:rPr>
          <w:color w:val="auto"/>
          <w:highlight w:val="none"/>
        </w:rPr>
      </w:pPr>
    </w:p>
    <w:p>
      <w:pPr>
        <w:jc w:val="center"/>
        <w:rPr>
          <w:rFonts w:hint="eastAsia" w:ascii="宋体" w:hAnsi="宋体"/>
          <w:b/>
          <w:bCs/>
          <w:color w:val="auto"/>
          <w:sz w:val="96"/>
          <w:szCs w:val="96"/>
          <w:highlight w:val="none"/>
        </w:rPr>
      </w:pPr>
    </w:p>
    <w:p>
      <w:pPr>
        <w:jc w:val="center"/>
        <w:rPr>
          <w:color w:val="auto"/>
          <w:sz w:val="28"/>
          <w:szCs w:val="28"/>
          <w:highlight w:val="none"/>
        </w:rPr>
      </w:pPr>
      <w:r>
        <w:rPr>
          <w:rFonts w:hint="eastAsia" w:ascii="宋体" w:hAnsi="宋体"/>
          <w:b/>
          <w:bCs/>
          <w:color w:val="auto"/>
          <w:sz w:val="96"/>
          <w:szCs w:val="96"/>
          <w:highlight w:val="none"/>
        </w:rPr>
        <w:t>招</w:t>
      </w:r>
      <w:r>
        <w:rPr>
          <w:rFonts w:hint="eastAsia" w:ascii="宋体" w:hAnsi="宋体"/>
          <w:b/>
          <w:bCs/>
          <w:color w:val="auto"/>
          <w:sz w:val="96"/>
          <w:szCs w:val="96"/>
          <w:highlight w:val="none"/>
          <w:lang w:val="en-US" w:eastAsia="zh-CN"/>
        </w:rPr>
        <w:t xml:space="preserve"> </w:t>
      </w:r>
      <w:r>
        <w:rPr>
          <w:rFonts w:hint="eastAsia" w:ascii="宋体"/>
          <w:b/>
          <w:bCs/>
          <w:color w:val="auto"/>
          <w:sz w:val="96"/>
          <w:szCs w:val="96"/>
          <w:highlight w:val="none"/>
        </w:rPr>
        <w:t>标</w:t>
      </w:r>
      <w:r>
        <w:rPr>
          <w:rFonts w:hint="eastAsia" w:ascii="宋体"/>
          <w:b/>
          <w:bCs/>
          <w:color w:val="auto"/>
          <w:sz w:val="96"/>
          <w:szCs w:val="96"/>
          <w:highlight w:val="none"/>
          <w:lang w:val="en-US" w:eastAsia="zh-CN"/>
        </w:rPr>
        <w:t xml:space="preserve"> </w:t>
      </w:r>
      <w:r>
        <w:rPr>
          <w:rFonts w:hint="eastAsia" w:ascii="宋体" w:hAnsi="宋体"/>
          <w:b/>
          <w:bCs/>
          <w:color w:val="auto"/>
          <w:sz w:val="96"/>
          <w:szCs w:val="96"/>
          <w:highlight w:val="none"/>
        </w:rPr>
        <w:t>文</w:t>
      </w:r>
      <w:r>
        <w:rPr>
          <w:rFonts w:hint="eastAsia" w:ascii="宋体" w:hAnsi="宋体"/>
          <w:b/>
          <w:bCs/>
          <w:color w:val="auto"/>
          <w:sz w:val="96"/>
          <w:szCs w:val="96"/>
          <w:highlight w:val="none"/>
          <w:lang w:val="en-US" w:eastAsia="zh-CN"/>
        </w:rPr>
        <w:t xml:space="preserve"> </w:t>
      </w:r>
      <w:r>
        <w:rPr>
          <w:rFonts w:hint="eastAsia" w:ascii="宋体" w:hAnsi="宋体"/>
          <w:b/>
          <w:bCs/>
          <w:color w:val="auto"/>
          <w:sz w:val="96"/>
          <w:szCs w:val="96"/>
          <w:highlight w:val="none"/>
        </w:rPr>
        <w:t>件</w:t>
      </w:r>
    </w:p>
    <w:p>
      <w:pPr>
        <w:spacing w:line="400" w:lineRule="exact"/>
        <w:jc w:val="center"/>
        <w:rPr>
          <w:rFonts w:ascii="宋体" w:hAnsi="宋体"/>
          <w:b/>
          <w:color w:val="auto"/>
          <w:sz w:val="39"/>
          <w:highlight w:val="none"/>
        </w:rPr>
      </w:pPr>
    </w:p>
    <w:p>
      <w:pPr>
        <w:spacing w:line="400" w:lineRule="exact"/>
        <w:rPr>
          <w:color w:val="auto"/>
          <w:highlight w:val="none"/>
        </w:rPr>
      </w:pPr>
    </w:p>
    <w:p>
      <w:pPr>
        <w:pStyle w:val="14"/>
        <w:rPr>
          <w:color w:val="auto"/>
          <w:highlight w:val="none"/>
        </w:rPr>
      </w:pPr>
    </w:p>
    <w:p>
      <w:pPr>
        <w:rPr>
          <w:color w:val="auto"/>
          <w:highlight w:val="none"/>
        </w:rPr>
      </w:pPr>
    </w:p>
    <w:p>
      <w:pPr>
        <w:pStyle w:val="14"/>
        <w:rPr>
          <w:color w:val="auto"/>
          <w:highlight w:val="none"/>
        </w:rPr>
      </w:pPr>
    </w:p>
    <w:p>
      <w:pPr>
        <w:rPr>
          <w:color w:val="auto"/>
          <w:highlight w:val="none"/>
        </w:rPr>
      </w:pPr>
    </w:p>
    <w:p>
      <w:pPr>
        <w:pStyle w:val="14"/>
        <w:rPr>
          <w:color w:val="auto"/>
          <w:highlight w:val="none"/>
        </w:rPr>
      </w:pPr>
    </w:p>
    <w:p>
      <w:pPr>
        <w:rPr>
          <w:color w:val="auto"/>
          <w:highlight w:val="none"/>
        </w:rPr>
      </w:pPr>
    </w:p>
    <w:p>
      <w:pPr>
        <w:pStyle w:val="14"/>
        <w:rPr>
          <w:color w:val="auto"/>
          <w:highlight w:val="none"/>
        </w:rPr>
      </w:pPr>
    </w:p>
    <w:p>
      <w:pPr>
        <w:rPr>
          <w:color w:val="auto"/>
          <w:highlight w:val="none"/>
        </w:rPr>
      </w:pPr>
    </w:p>
    <w:p>
      <w:pPr>
        <w:pStyle w:val="14"/>
        <w:rPr>
          <w:color w:val="auto"/>
          <w:highlight w:val="none"/>
        </w:rPr>
      </w:pPr>
    </w:p>
    <w:p>
      <w:pPr>
        <w:rPr>
          <w:color w:val="auto"/>
          <w:highlight w:val="none"/>
        </w:rPr>
      </w:pPr>
    </w:p>
    <w:p>
      <w:pPr>
        <w:pStyle w:val="14"/>
        <w:rPr>
          <w:color w:val="auto"/>
          <w:highlight w:val="none"/>
        </w:rPr>
      </w:pPr>
    </w:p>
    <w:p>
      <w:pPr>
        <w:spacing w:line="720" w:lineRule="exact"/>
        <w:rPr>
          <w:b/>
          <w:bCs/>
          <w:color w:val="auto"/>
          <w:sz w:val="28"/>
          <w:szCs w:val="28"/>
          <w:highlight w:val="none"/>
        </w:rPr>
      </w:pPr>
    </w:p>
    <w:p>
      <w:pPr>
        <w:spacing w:before="156" w:beforeLines="50" w:after="156" w:afterLines="50" w:line="700" w:lineRule="exact"/>
        <w:jc w:val="center"/>
        <w:outlineLvl w:val="0"/>
        <w:rPr>
          <w:rFonts w:hint="eastAsia" w:ascii="宋体"/>
          <w:b/>
          <w:color w:val="auto"/>
          <w:sz w:val="32"/>
          <w:szCs w:val="32"/>
          <w:highlight w:val="none"/>
        </w:rPr>
      </w:pPr>
      <w:bookmarkStart w:id="12" w:name="_Toc32059"/>
      <w:bookmarkStart w:id="13" w:name="_Toc25057"/>
      <w:r>
        <w:rPr>
          <w:rFonts w:hint="eastAsia" w:ascii="宋体"/>
          <w:b/>
          <w:color w:val="auto"/>
          <w:sz w:val="32"/>
          <w:szCs w:val="32"/>
          <w:highlight w:val="none"/>
        </w:rPr>
        <w:t>招 标 人：</w:t>
      </w:r>
      <w:r>
        <w:rPr>
          <w:rFonts w:hint="eastAsia" w:ascii="宋体"/>
          <w:b/>
          <w:color w:val="auto"/>
          <w:sz w:val="32"/>
          <w:szCs w:val="32"/>
          <w:highlight w:val="none"/>
          <w:u w:val="single"/>
          <w:lang w:eastAsia="zh-CN"/>
        </w:rPr>
        <w:t>滁州市兴天矿业有限公司</w:t>
      </w:r>
      <w:r>
        <w:rPr>
          <w:rFonts w:hint="eastAsia" w:ascii="宋体"/>
          <w:b/>
          <w:color w:val="auto"/>
          <w:sz w:val="32"/>
          <w:szCs w:val="32"/>
          <w:highlight w:val="none"/>
        </w:rPr>
        <w:t>（盖单位章）</w:t>
      </w:r>
      <w:bookmarkEnd w:id="12"/>
      <w:bookmarkEnd w:id="13"/>
    </w:p>
    <w:p>
      <w:pPr>
        <w:spacing w:before="156" w:beforeLines="50" w:after="156" w:afterLines="50" w:line="700" w:lineRule="exact"/>
        <w:rPr>
          <w:rFonts w:hint="eastAsia" w:ascii="宋体"/>
          <w:b/>
          <w:color w:val="auto"/>
          <w:sz w:val="32"/>
          <w:szCs w:val="32"/>
          <w:highlight w:val="none"/>
          <w:u w:val="single"/>
        </w:rPr>
      </w:pPr>
      <w:r>
        <w:rPr>
          <w:rFonts w:hint="eastAsia" w:ascii="宋体"/>
          <w:b/>
          <w:color w:val="auto"/>
          <w:sz w:val="32"/>
          <w:szCs w:val="32"/>
          <w:highlight w:val="none"/>
        </w:rPr>
        <w:t>招标代理机构：</w:t>
      </w:r>
      <w:r>
        <w:rPr>
          <w:rFonts w:hint="eastAsia" w:ascii="宋体"/>
          <w:b/>
          <w:color w:val="auto"/>
          <w:sz w:val="32"/>
          <w:szCs w:val="32"/>
          <w:highlight w:val="none"/>
          <w:u w:val="single"/>
        </w:rPr>
        <w:t>滁州市城投工程咨询管理有限公司</w:t>
      </w:r>
      <w:r>
        <w:rPr>
          <w:rFonts w:hint="eastAsia" w:ascii="宋体"/>
          <w:b/>
          <w:color w:val="auto"/>
          <w:sz w:val="32"/>
          <w:szCs w:val="32"/>
          <w:highlight w:val="none"/>
        </w:rPr>
        <w:t>（盖单位章）</w:t>
      </w:r>
    </w:p>
    <w:p>
      <w:pPr>
        <w:spacing w:before="156" w:beforeLines="50" w:after="156" w:afterLines="50" w:line="700" w:lineRule="exact"/>
        <w:jc w:val="center"/>
        <w:rPr>
          <w:rFonts w:ascii="宋体"/>
          <w:b/>
          <w:color w:val="auto"/>
          <w:sz w:val="32"/>
          <w:szCs w:val="32"/>
          <w:highlight w:val="none"/>
        </w:rPr>
      </w:pPr>
      <w:r>
        <w:rPr>
          <w:rFonts w:hint="eastAsia" w:ascii="宋体"/>
          <w:b/>
          <w:color w:val="auto"/>
          <w:sz w:val="32"/>
          <w:szCs w:val="32"/>
          <w:highlight w:val="none"/>
          <w:u w:val="single"/>
        </w:rPr>
        <w:t>202</w:t>
      </w:r>
      <w:r>
        <w:rPr>
          <w:rFonts w:hint="eastAsia" w:ascii="宋体"/>
          <w:b/>
          <w:color w:val="auto"/>
          <w:sz w:val="32"/>
          <w:szCs w:val="32"/>
          <w:highlight w:val="none"/>
          <w:u w:val="single"/>
          <w:lang w:val="en-US" w:eastAsia="zh-CN"/>
        </w:rPr>
        <w:t>4</w:t>
      </w:r>
      <w:r>
        <w:rPr>
          <w:rFonts w:hint="eastAsia" w:ascii="宋体"/>
          <w:b/>
          <w:color w:val="auto"/>
          <w:sz w:val="32"/>
          <w:szCs w:val="32"/>
          <w:highlight w:val="none"/>
        </w:rPr>
        <w:t>年</w:t>
      </w:r>
      <w:r>
        <w:rPr>
          <w:rFonts w:hint="eastAsia" w:ascii="宋体"/>
          <w:b/>
          <w:color w:val="auto"/>
          <w:sz w:val="32"/>
          <w:szCs w:val="32"/>
          <w:highlight w:val="none"/>
          <w:u w:val="single"/>
        </w:rPr>
        <w:t xml:space="preserve"> </w:t>
      </w:r>
      <w:r>
        <w:rPr>
          <w:rFonts w:hint="eastAsia" w:ascii="宋体"/>
          <w:b/>
          <w:color w:val="auto"/>
          <w:sz w:val="32"/>
          <w:szCs w:val="32"/>
          <w:highlight w:val="none"/>
          <w:u w:val="single"/>
          <w:lang w:val="en-US" w:eastAsia="zh-CN"/>
        </w:rPr>
        <w:t>4</w:t>
      </w:r>
      <w:r>
        <w:rPr>
          <w:rFonts w:hint="eastAsia" w:ascii="宋体"/>
          <w:b/>
          <w:color w:val="auto"/>
          <w:sz w:val="32"/>
          <w:szCs w:val="32"/>
          <w:highlight w:val="none"/>
        </w:rPr>
        <w:t>月</w:t>
      </w:r>
      <w:r>
        <w:rPr>
          <w:rFonts w:hint="eastAsia" w:ascii="宋体"/>
          <w:b/>
          <w:color w:val="auto"/>
          <w:sz w:val="32"/>
          <w:szCs w:val="32"/>
          <w:highlight w:val="none"/>
          <w:u w:val="single"/>
          <w:lang w:val="en-US" w:eastAsia="zh-CN"/>
        </w:rPr>
        <w:t xml:space="preserve"> 19 </w:t>
      </w:r>
      <w:r>
        <w:rPr>
          <w:rFonts w:hint="eastAsia" w:ascii="宋体"/>
          <w:b/>
          <w:color w:val="auto"/>
          <w:sz w:val="32"/>
          <w:szCs w:val="32"/>
          <w:highlight w:val="none"/>
        </w:rPr>
        <w:t>日</w:t>
      </w:r>
    </w:p>
    <w:p>
      <w:pPr>
        <w:jc w:val="center"/>
        <w:rPr>
          <w:color w:val="auto"/>
          <w:sz w:val="44"/>
          <w:szCs w:val="44"/>
          <w:highlight w:val="none"/>
        </w:rPr>
        <w:sectPr>
          <w:headerReference r:id="rId3" w:type="default"/>
          <w:footerReference r:id="rId4" w:type="default"/>
          <w:pgSz w:w="11906" w:h="16838"/>
          <w:pgMar w:top="1134" w:right="1417" w:bottom="1134" w:left="1417" w:header="851" w:footer="992" w:gutter="0"/>
          <w:pgNumType w:fmt="decimal"/>
          <w:cols w:space="720" w:num="1"/>
          <w:docGrid w:type="lines" w:linePitch="312" w:charSpace="0"/>
        </w:sectPr>
      </w:pPr>
    </w:p>
    <w:p>
      <w:pPr>
        <w:spacing w:line="700" w:lineRule="exact"/>
        <w:jc w:val="center"/>
        <w:rPr>
          <w:rFonts w:hint="eastAsia"/>
          <w:color w:val="auto"/>
          <w:sz w:val="44"/>
          <w:szCs w:val="44"/>
          <w:highlight w:val="none"/>
        </w:rPr>
      </w:pPr>
    </w:p>
    <w:p>
      <w:pPr>
        <w:spacing w:line="700" w:lineRule="exact"/>
        <w:jc w:val="center"/>
        <w:rPr>
          <w:color w:val="auto"/>
          <w:sz w:val="44"/>
          <w:szCs w:val="44"/>
          <w:highlight w:val="none"/>
        </w:rPr>
      </w:pPr>
      <w:r>
        <w:rPr>
          <w:rFonts w:hint="eastAsia"/>
          <w:color w:val="auto"/>
          <w:sz w:val="44"/>
          <w:szCs w:val="44"/>
          <w:highlight w:val="none"/>
        </w:rPr>
        <w:t>目   录</w:t>
      </w:r>
      <w:bookmarkEnd w:id="0"/>
      <w:bookmarkEnd w:id="1"/>
      <w:bookmarkEnd w:id="2"/>
      <w:bookmarkEnd w:id="3"/>
      <w:bookmarkEnd w:id="4"/>
      <w:bookmarkEnd w:id="5"/>
      <w:bookmarkEnd w:id="6"/>
      <w:bookmarkStart w:id="14" w:name="_Toc152042287"/>
      <w:bookmarkStart w:id="15" w:name="_Toc144974479"/>
      <w:bookmarkStart w:id="16" w:name="_Toc179632527"/>
      <w:bookmarkStart w:id="17" w:name="_Toc152045511"/>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招标公告信息..................................................1</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第一章 投标人须知.............................................4</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第二章 </w:t>
      </w:r>
      <w:r>
        <w:rPr>
          <w:rFonts w:hint="eastAsia" w:ascii="宋体" w:hAnsi="宋体" w:eastAsia="宋体" w:cs="宋体"/>
          <w:b w:val="0"/>
          <w:bCs w:val="0"/>
          <w:caps w:val="0"/>
          <w:color w:val="auto"/>
          <w:sz w:val="24"/>
          <w:szCs w:val="24"/>
          <w:highlight w:val="none"/>
          <w:lang w:val="en-US" w:eastAsia="zh-CN"/>
        </w:rPr>
        <w:t>资格审查办法</w:t>
      </w:r>
      <w:r>
        <w:rPr>
          <w:rFonts w:hint="eastAsia" w:ascii="宋体" w:hAnsi="宋体" w:cs="宋体"/>
          <w:b w:val="0"/>
          <w:bCs w:val="0"/>
          <w:caps w:val="0"/>
          <w:color w:val="auto"/>
          <w:sz w:val="24"/>
          <w:szCs w:val="24"/>
          <w:highlight w:val="none"/>
          <w:lang w:val="en-US" w:eastAsia="zh-CN"/>
        </w:rPr>
        <w:t>...........................................17</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第三章 评标办法...............................................19</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第四章 </w:t>
      </w:r>
      <w:r>
        <w:rPr>
          <w:rFonts w:hint="eastAsia" w:ascii="宋体" w:hAnsi="宋体" w:eastAsia="宋体" w:cs="宋体"/>
          <w:b w:val="0"/>
          <w:bCs w:val="0"/>
          <w:caps w:val="0"/>
          <w:color w:val="auto"/>
          <w:sz w:val="24"/>
          <w:szCs w:val="24"/>
          <w:highlight w:val="none"/>
          <w:lang w:val="en-US" w:eastAsia="zh-CN"/>
        </w:rPr>
        <w:t>合同条款及格式</w:t>
      </w:r>
      <w:r>
        <w:rPr>
          <w:rFonts w:hint="eastAsia" w:ascii="宋体" w:hAnsi="宋体" w:cs="宋体"/>
          <w:b w:val="0"/>
          <w:bCs w:val="0"/>
          <w:caps w:val="0"/>
          <w:color w:val="auto"/>
          <w:sz w:val="24"/>
          <w:szCs w:val="24"/>
          <w:highlight w:val="none"/>
          <w:lang w:val="en-US" w:eastAsia="zh-CN"/>
        </w:rPr>
        <w:t>.........................................26</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第五章 </w:t>
      </w:r>
      <w:r>
        <w:rPr>
          <w:rFonts w:hint="eastAsia" w:ascii="宋体" w:hAnsi="宋体" w:eastAsia="宋体" w:cs="宋体"/>
          <w:b w:val="0"/>
          <w:bCs w:val="0"/>
          <w:caps w:val="0"/>
          <w:color w:val="auto"/>
          <w:sz w:val="24"/>
          <w:szCs w:val="24"/>
          <w:highlight w:val="none"/>
          <w:lang w:val="en-US" w:eastAsia="zh-CN"/>
        </w:rPr>
        <w:t>工程量清单</w:t>
      </w:r>
      <w:r>
        <w:rPr>
          <w:rFonts w:hint="eastAsia" w:ascii="宋体" w:hAnsi="宋体" w:cs="宋体"/>
          <w:b w:val="0"/>
          <w:bCs w:val="0"/>
          <w:caps w:val="0"/>
          <w:color w:val="auto"/>
          <w:sz w:val="24"/>
          <w:szCs w:val="24"/>
          <w:highlight w:val="none"/>
          <w:lang w:val="en-US" w:eastAsia="zh-CN"/>
        </w:rPr>
        <w:t>.............................................66</w:t>
      </w:r>
    </w:p>
    <w:p>
      <w:pPr>
        <w:pStyle w:val="32"/>
        <w:tabs>
          <w:tab w:val="right" w:leader="dot" w:pos="9062"/>
        </w:tabs>
        <w:spacing w:line="700" w:lineRule="exact"/>
        <w:ind w:firstLine="480" w:firstLineChars="200"/>
        <w:rPr>
          <w:rFonts w:hint="eastAsia" w:ascii="宋体" w:hAnsi="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第六章 </w:t>
      </w:r>
      <w:r>
        <w:rPr>
          <w:rFonts w:hint="eastAsia" w:ascii="宋体" w:hAnsi="宋体" w:eastAsia="宋体" w:cs="宋体"/>
          <w:b w:val="0"/>
          <w:bCs w:val="0"/>
          <w:caps w:val="0"/>
          <w:color w:val="auto"/>
          <w:sz w:val="24"/>
          <w:szCs w:val="24"/>
          <w:highlight w:val="none"/>
          <w:lang w:val="en-US" w:eastAsia="zh-CN"/>
        </w:rPr>
        <w:t>图纸</w:t>
      </w:r>
      <w:r>
        <w:rPr>
          <w:rFonts w:hint="eastAsia" w:ascii="宋体" w:hAnsi="宋体" w:cs="宋体"/>
          <w:b w:val="0"/>
          <w:bCs w:val="0"/>
          <w:caps w:val="0"/>
          <w:color w:val="auto"/>
          <w:sz w:val="24"/>
          <w:szCs w:val="24"/>
          <w:highlight w:val="none"/>
          <w:lang w:val="en-US" w:eastAsia="zh-CN"/>
        </w:rPr>
        <w:t>...................................................69</w:t>
      </w:r>
    </w:p>
    <w:p>
      <w:pPr>
        <w:pStyle w:val="32"/>
        <w:tabs>
          <w:tab w:val="right" w:leader="dot" w:pos="9062"/>
        </w:tabs>
        <w:spacing w:line="700" w:lineRule="exact"/>
        <w:ind w:firstLine="480" w:firstLineChars="200"/>
        <w:rPr>
          <w:rFonts w:hint="eastAsia" w:ascii="宋体" w:hAnsi="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第七章 </w:t>
      </w:r>
      <w:r>
        <w:rPr>
          <w:rFonts w:hint="eastAsia" w:ascii="宋体" w:hAnsi="宋体" w:eastAsia="宋体" w:cs="宋体"/>
          <w:b w:val="0"/>
          <w:bCs w:val="0"/>
          <w:caps w:val="0"/>
          <w:color w:val="auto"/>
          <w:sz w:val="24"/>
          <w:szCs w:val="24"/>
          <w:highlight w:val="none"/>
          <w:lang w:val="en-US" w:eastAsia="zh-CN"/>
        </w:rPr>
        <w:t>投标文件格式</w:t>
      </w:r>
      <w:r>
        <w:rPr>
          <w:rFonts w:hint="eastAsia" w:ascii="宋体" w:hAnsi="宋体" w:cs="宋体"/>
          <w:b w:val="0"/>
          <w:bCs w:val="0"/>
          <w:caps w:val="0"/>
          <w:color w:val="auto"/>
          <w:sz w:val="24"/>
          <w:szCs w:val="24"/>
          <w:highlight w:val="none"/>
          <w:lang w:val="en-US" w:eastAsia="zh-CN"/>
        </w:rPr>
        <w:t>...........................................70</w:t>
      </w:r>
    </w:p>
    <w:p>
      <w:pPr>
        <w:pStyle w:val="32"/>
        <w:tabs>
          <w:tab w:val="right" w:leader="dot" w:pos="9062"/>
        </w:tabs>
        <w:spacing w:line="700" w:lineRule="exact"/>
        <w:ind w:firstLine="48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cs="宋体"/>
          <w:b w:val="0"/>
          <w:bCs w:val="0"/>
          <w:caps w:val="0"/>
          <w:color w:val="auto"/>
          <w:sz w:val="24"/>
          <w:szCs w:val="24"/>
          <w:highlight w:val="none"/>
          <w:lang w:val="en-US" w:eastAsia="zh-CN"/>
        </w:rPr>
        <w:t xml:space="preserve">第八章 </w:t>
      </w:r>
      <w:r>
        <w:rPr>
          <w:rFonts w:hint="eastAsia" w:ascii="宋体" w:hAnsi="宋体" w:eastAsia="宋体" w:cs="宋体"/>
          <w:b w:val="0"/>
          <w:bCs w:val="0"/>
          <w:caps w:val="0"/>
          <w:color w:val="auto"/>
          <w:sz w:val="24"/>
          <w:szCs w:val="24"/>
          <w:highlight w:val="none"/>
          <w:lang w:val="en-US" w:eastAsia="zh-CN"/>
        </w:rPr>
        <w:t>招标单位、招标代理机构对本招标文件的确认</w:t>
      </w:r>
      <w:r>
        <w:rPr>
          <w:rFonts w:hint="eastAsia" w:ascii="宋体" w:hAnsi="宋体" w:cs="宋体"/>
          <w:b w:val="0"/>
          <w:bCs w:val="0"/>
          <w:caps w:val="0"/>
          <w:color w:val="auto"/>
          <w:sz w:val="24"/>
          <w:szCs w:val="24"/>
          <w:highlight w:val="none"/>
          <w:lang w:val="en-US" w:eastAsia="zh-CN"/>
        </w:rPr>
        <w:t>...............79</w:t>
      </w:r>
    </w:p>
    <w:p>
      <w:pPr>
        <w:pStyle w:val="14"/>
        <w:spacing w:line="700" w:lineRule="exact"/>
        <w:ind w:left="0" w:leftChars="0" w:firstLine="480"/>
        <w:jc w:val="left"/>
        <w:rPr>
          <w:color w:val="auto"/>
          <w:sz w:val="24"/>
          <w:szCs w:val="24"/>
          <w:highlight w:val="none"/>
        </w:rPr>
      </w:pPr>
    </w:p>
    <w:p>
      <w:pPr>
        <w:pStyle w:val="43"/>
        <w:spacing w:line="700" w:lineRule="exact"/>
        <w:jc w:val="left"/>
        <w:rPr>
          <w:color w:val="auto"/>
          <w:sz w:val="24"/>
          <w:szCs w:val="24"/>
          <w:highlight w:val="none"/>
        </w:rPr>
        <w:sectPr>
          <w:footerReference r:id="rId5" w:type="default"/>
          <w:pgSz w:w="11906" w:h="16838"/>
          <w:pgMar w:top="1134" w:right="1417" w:bottom="1134" w:left="1417" w:header="851" w:footer="992" w:gutter="0"/>
          <w:pgNumType w:fmt="decimal" w:start="1"/>
          <w:cols w:space="720" w:num="1"/>
          <w:docGrid w:type="lines" w:linePitch="312" w:charSpace="0"/>
        </w:sectPr>
      </w:pPr>
    </w:p>
    <w:bookmarkEnd w:id="14"/>
    <w:bookmarkEnd w:id="15"/>
    <w:bookmarkEnd w:id="16"/>
    <w:bookmarkEnd w:id="17"/>
    <w:p>
      <w:pPr>
        <w:pStyle w:val="43"/>
        <w:keepNext w:val="0"/>
        <w:keepLines w:val="0"/>
        <w:pageBreakBefore w:val="0"/>
        <w:widowControl w:val="0"/>
        <w:kinsoku/>
        <w:wordWrap/>
        <w:overflowPunct/>
        <w:topLinePunct w:val="0"/>
        <w:autoSpaceDE/>
        <w:autoSpaceDN/>
        <w:bidi w:val="0"/>
        <w:adjustRightInd w:val="0"/>
        <w:snapToGrid/>
        <w:spacing w:beforeLines="50" w:afterLines="50" w:line="400" w:lineRule="exact"/>
        <w:textAlignment w:val="baseline"/>
        <w:rPr>
          <w:bCs/>
          <w:color w:val="auto"/>
          <w:szCs w:val="32"/>
          <w:highlight w:val="none"/>
        </w:rPr>
      </w:pPr>
      <w:bookmarkStart w:id="18" w:name="_Toc78803320"/>
      <w:bookmarkStart w:id="19" w:name="_Toc152042303"/>
      <w:bookmarkStart w:id="20" w:name="_Toc324404813"/>
      <w:bookmarkStart w:id="21" w:name="_Toc35425050"/>
      <w:bookmarkStart w:id="22" w:name="_Toc246996916"/>
      <w:bookmarkStart w:id="23" w:name="_Toc179632544"/>
      <w:bookmarkStart w:id="24" w:name="_Toc15058844"/>
      <w:bookmarkStart w:id="25" w:name="_Toc35424883"/>
      <w:bookmarkStart w:id="26" w:name="_Toc247085687"/>
      <w:bookmarkStart w:id="27" w:name="_Toc152045527"/>
      <w:bookmarkStart w:id="28" w:name="_Toc246996173"/>
      <w:bookmarkStart w:id="29" w:name="_Toc506107267"/>
      <w:bookmarkStart w:id="30" w:name="_Toc144974495"/>
      <w:r>
        <w:rPr>
          <w:rFonts w:hint="eastAsia"/>
          <w:bCs/>
          <w:color w:val="auto"/>
          <w:szCs w:val="32"/>
          <w:highlight w:val="none"/>
        </w:rPr>
        <w:t>兴天矿业柴油发电机房土建工程施工招标公告信息</w:t>
      </w:r>
      <w:bookmarkEnd w:id="18"/>
    </w:p>
    <w:tbl>
      <w:tblPr>
        <w:tblStyle w:val="46"/>
        <w:tblW w:w="9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7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kinsoku/>
              <w:overflowPunct/>
              <w:topLinePunct w:val="0"/>
              <w:autoSpaceDE/>
              <w:autoSpaceDN/>
              <w:bidi w:val="0"/>
              <w:adjustRightInd/>
              <w:snapToGrid/>
              <w:spacing w:line="400" w:lineRule="exact"/>
              <w:jc w:val="center"/>
              <w:textAlignment w:val="auto"/>
              <w:rPr>
                <w:rFonts w:hint="eastAsia" w:ascii="宋体" w:hAnsi="宋体" w:eastAsia="宋体" w:cs="宋体"/>
                <w:bCs/>
                <w:color w:val="auto"/>
                <w:kern w:val="1"/>
                <w:sz w:val="21"/>
                <w:szCs w:val="21"/>
                <w:highlight w:val="none"/>
              </w:rPr>
            </w:pPr>
            <w:r>
              <w:rPr>
                <w:rFonts w:hint="eastAsia" w:ascii="宋体" w:hAnsi="宋体" w:eastAsia="宋体" w:cs="宋体"/>
                <w:b/>
                <w:bCs/>
                <w:color w:val="auto"/>
                <w:sz w:val="21"/>
                <w:szCs w:val="21"/>
                <w:highlight w:val="none"/>
              </w:rPr>
              <w:t>招标条件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933"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kern w:val="1"/>
                <w:sz w:val="21"/>
                <w:szCs w:val="21"/>
                <w:highlight w:val="none"/>
              </w:rPr>
            </w:pPr>
            <w:r>
              <w:rPr>
                <w:rFonts w:hint="eastAsia" w:ascii="宋体" w:hAnsi="宋体" w:eastAsia="宋体" w:cs="宋体"/>
                <w:bCs/>
                <w:color w:val="auto"/>
                <w:kern w:val="1"/>
                <w:sz w:val="21"/>
                <w:szCs w:val="21"/>
                <w:highlight w:val="none"/>
              </w:rPr>
              <w:t>项目</w:t>
            </w:r>
            <w:r>
              <w:rPr>
                <w:rFonts w:hint="eastAsia" w:ascii="宋体" w:hAnsi="宋体" w:eastAsia="宋体" w:cs="宋体"/>
                <w:color w:val="auto"/>
                <w:kern w:val="0"/>
                <w:sz w:val="21"/>
                <w:szCs w:val="21"/>
                <w:highlight w:val="none"/>
              </w:rPr>
              <w:t>名称</w:t>
            </w:r>
          </w:p>
        </w:tc>
        <w:tc>
          <w:tcPr>
            <w:tcW w:w="7997"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Cs/>
                <w:color w:val="auto"/>
                <w:kern w:val="1"/>
                <w:sz w:val="21"/>
                <w:szCs w:val="21"/>
                <w:highlight w:val="none"/>
                <w:lang w:eastAsia="zh-CN"/>
              </w:rPr>
            </w:pPr>
            <w:r>
              <w:rPr>
                <w:rFonts w:hint="eastAsia" w:ascii="宋体" w:hAnsi="宋体" w:eastAsia="宋体" w:cs="宋体"/>
                <w:bCs/>
                <w:color w:val="auto"/>
                <w:kern w:val="1"/>
                <w:sz w:val="21"/>
                <w:szCs w:val="21"/>
                <w:highlight w:val="none"/>
                <w:lang w:eastAsia="zh-CN"/>
              </w:rPr>
              <w:t>兴天矿业柴油发电机房土建工程施工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snapToGrid w:val="0"/>
                <w:color w:val="auto"/>
                <w:kern w:val="0"/>
                <w:sz w:val="21"/>
                <w:szCs w:val="21"/>
                <w:highlight w:val="none"/>
              </w:rPr>
              <w:t>招标人</w:t>
            </w:r>
          </w:p>
        </w:tc>
        <w:tc>
          <w:tcPr>
            <w:tcW w:w="7997" w:type="dxa"/>
            <w:noWrap w:val="0"/>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Cs/>
                <w:color w:val="auto"/>
                <w:kern w:val="1"/>
                <w:sz w:val="21"/>
                <w:szCs w:val="21"/>
                <w:highlight w:val="none"/>
                <w:lang w:eastAsia="zh-CN"/>
              </w:rPr>
            </w:pPr>
            <w:r>
              <w:rPr>
                <w:rFonts w:hint="eastAsia" w:ascii="宋体" w:hAnsi="宋体" w:eastAsia="宋体" w:cs="宋体"/>
                <w:bCs/>
                <w:color w:val="auto"/>
                <w:kern w:val="1"/>
                <w:sz w:val="21"/>
                <w:szCs w:val="21"/>
                <w:highlight w:val="none"/>
                <w:lang w:eastAsia="zh-CN"/>
              </w:rPr>
              <w:t>滁州市兴天矿业有限公司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项目业主</w:t>
            </w:r>
          </w:p>
        </w:tc>
        <w:tc>
          <w:tcPr>
            <w:tcW w:w="7997"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滁州市兴天矿业有限公司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资金来源</w:t>
            </w:r>
          </w:p>
        </w:tc>
        <w:tc>
          <w:tcPr>
            <w:tcW w:w="7997" w:type="dxa"/>
            <w:noWrap w:val="0"/>
            <w:vAlign w:val="center"/>
          </w:tcPr>
          <w:p>
            <w:pPr>
              <w:keepNext w:val="0"/>
              <w:keepLines w:val="0"/>
              <w:pageBreakBefore w:val="0"/>
              <w:widowControl/>
              <w:kinsoku/>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项目出资比例</w:t>
            </w:r>
          </w:p>
        </w:tc>
        <w:tc>
          <w:tcPr>
            <w:tcW w:w="7997" w:type="dxa"/>
            <w:noWrap w:val="0"/>
            <w:vAlign w:val="center"/>
          </w:tcPr>
          <w:p>
            <w:pPr>
              <w:keepNext w:val="0"/>
              <w:keepLines w:val="0"/>
              <w:pageBreakBefore w:val="0"/>
              <w:widowControl/>
              <w:kinsoku/>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招标方式</w:t>
            </w:r>
          </w:p>
        </w:tc>
        <w:tc>
          <w:tcPr>
            <w:tcW w:w="7997" w:type="dxa"/>
            <w:noWrap w:val="0"/>
            <w:vAlign w:val="center"/>
          </w:tcPr>
          <w:p>
            <w:pPr>
              <w:keepNext w:val="0"/>
              <w:keepLines w:val="0"/>
              <w:pageBreakBefore w:val="0"/>
              <w:widowControl/>
              <w:kinsoku/>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评标办法</w:t>
            </w:r>
          </w:p>
        </w:tc>
        <w:tc>
          <w:tcPr>
            <w:tcW w:w="7997" w:type="dxa"/>
            <w:noWrap w:val="0"/>
            <w:vAlign w:val="center"/>
          </w:tcPr>
          <w:p>
            <w:pPr>
              <w:keepNext w:val="0"/>
              <w:keepLines w:val="0"/>
              <w:pageBreakBefore w:val="0"/>
              <w:widowControl/>
              <w:kinsoku/>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综合评估法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项目概况与招标范围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招标项目名称</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兴天矿业柴油发电机房土建工程施工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标段划分</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Cs w:val="21"/>
                <w:highlight w:val="none"/>
                <w:lang w:val="en-US" w:eastAsia="zh-CN"/>
              </w:rPr>
              <w:t>一个标段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建设地点</w:t>
            </w:r>
          </w:p>
        </w:tc>
        <w:tc>
          <w:tcPr>
            <w:tcW w:w="7997" w:type="dxa"/>
            <w:noWrap w:val="0"/>
            <w:vAlign w:val="center"/>
          </w:tcPr>
          <w:p>
            <w:pPr>
              <w:pStyle w:val="14"/>
              <w:keepNext w:val="0"/>
              <w:keepLines w:val="0"/>
              <w:pageBreakBefore w:val="0"/>
              <w:kinsoku/>
              <w:wordWrap/>
              <w:overflowPunct/>
              <w:topLinePunct w:val="0"/>
              <w:autoSpaceDE/>
              <w:autoSpaceDN/>
              <w:bidi w:val="0"/>
              <w:adjustRightInd/>
              <w:snapToGrid/>
              <w:spacing w:after="0" w:afterLines="0" w:line="400" w:lineRule="exact"/>
              <w:ind w:left="0" w:leftChars="0" w:firstLine="0" w:firstLineChars="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招标人指定地点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建设规模</w:t>
            </w:r>
          </w:p>
        </w:tc>
        <w:tc>
          <w:tcPr>
            <w:tcW w:w="7997" w:type="dxa"/>
            <w:noWrap w:val="0"/>
            <w:vAlign w:val="center"/>
          </w:tcPr>
          <w:p>
            <w:pPr>
              <w:pStyle w:val="14"/>
              <w:keepNext w:val="0"/>
              <w:keepLines w:val="0"/>
              <w:pageBreakBefore w:val="0"/>
              <w:widowControl w:val="0"/>
              <w:kinsoku/>
              <w:wordWrap w:val="0"/>
              <w:overflowPunct/>
              <w:topLinePunct w:val="0"/>
              <w:autoSpaceDE/>
              <w:autoSpaceDN/>
              <w:bidi w:val="0"/>
              <w:adjustRightInd/>
              <w:snapToGrid/>
              <w:spacing w:after="0" w:afterLines="0" w:line="400" w:lineRule="exact"/>
              <w:ind w:left="0" w:leftChars="0" w:firstLine="0" w:firstLineChars="0"/>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兴天矿业柴油发电机房土建工程施工</w:t>
            </w:r>
            <w:r>
              <w:rPr>
                <w:rFonts w:hint="eastAsia" w:hAnsi="宋体" w:cs="宋体"/>
                <w:color w:val="auto"/>
                <w:szCs w:val="21"/>
                <w:highlight w:val="none"/>
                <w:lang w:val="en-US" w:eastAsia="zh-CN"/>
              </w:rPr>
              <w:t>，</w:t>
            </w:r>
            <w:r>
              <w:rPr>
                <w:rFonts w:hint="eastAsia" w:ascii="宋体" w:hAnsi="宋体" w:cs="宋体"/>
                <w:color w:val="auto"/>
                <w:szCs w:val="21"/>
                <w:highlight w:val="none"/>
                <w:lang w:val="en-US" w:eastAsia="zh-CN"/>
              </w:rPr>
              <w:t>工程造价467715.56元，具体详见施工图纸和工程量清单内容。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合同估算价</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rPr>
            </w:pPr>
            <w:r>
              <w:rPr>
                <w:rFonts w:hint="eastAsia" w:ascii="宋体" w:hAnsi="宋体" w:cs="宋体"/>
                <w:color w:val="auto"/>
                <w:szCs w:val="21"/>
                <w:highlight w:val="none"/>
              </w:rPr>
              <w:t>本工程总投资约</w:t>
            </w:r>
            <w:r>
              <w:rPr>
                <w:rFonts w:hint="eastAsia" w:ascii="宋体" w:hAnsi="宋体" w:cs="宋体"/>
                <w:color w:val="auto"/>
                <w:szCs w:val="21"/>
                <w:highlight w:val="none"/>
                <w:lang w:val="en-US" w:eastAsia="zh-CN"/>
              </w:rPr>
              <w:t>46.77万元</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计划工期</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不高于45</w:t>
            </w:r>
            <w:r>
              <w:rPr>
                <w:rFonts w:hint="eastAsia" w:ascii="宋体" w:hAnsi="宋体" w:eastAsia="宋体" w:cs="宋体"/>
                <w:color w:val="auto"/>
                <w:sz w:val="21"/>
                <w:szCs w:val="21"/>
                <w:highlight w:val="none"/>
                <w:lang w:val="en-US" w:eastAsia="zh-CN"/>
              </w:rPr>
              <w:t>个日历天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招标范围</w:t>
            </w:r>
          </w:p>
        </w:tc>
        <w:tc>
          <w:tcPr>
            <w:tcW w:w="7997" w:type="dxa"/>
            <w:noWrap w:val="0"/>
            <w:vAlign w:val="center"/>
          </w:tcPr>
          <w:p>
            <w:pPr>
              <w:pStyle w:val="14"/>
              <w:keepNext w:val="0"/>
              <w:keepLines w:val="0"/>
              <w:pageBreakBefore w:val="0"/>
              <w:kinsoku/>
              <w:wordWrap/>
              <w:overflowPunct/>
              <w:topLinePunct w:val="0"/>
              <w:autoSpaceDE/>
              <w:autoSpaceDN/>
              <w:bidi w:val="0"/>
              <w:adjustRightInd/>
              <w:snapToGrid/>
              <w:spacing w:after="0" w:afterLines="0" w:line="40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cs="宋体"/>
                <w:color w:val="auto"/>
                <w:szCs w:val="21"/>
                <w:highlight w:val="none"/>
                <w:lang w:val="en-US" w:eastAsia="zh-CN"/>
              </w:rPr>
              <w:t>本工程施工图纸和工程量清单中的所有内容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项目类别</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投标人资质要求</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投标人须具有建设行政主管部门颁发的</w:t>
            </w:r>
            <w:r>
              <w:rPr>
                <w:rFonts w:hint="eastAsia" w:ascii="宋体" w:hAnsi="宋体" w:cs="宋体"/>
                <w:color w:val="auto"/>
                <w:szCs w:val="21"/>
                <w:highlight w:val="none"/>
              </w:rPr>
              <w:t>建筑工程施工总承包叁级（或以上）资质的企业</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snapToGrid w:val="0"/>
                <w:color w:val="auto"/>
                <w:kern w:val="0"/>
                <w:sz w:val="21"/>
                <w:szCs w:val="21"/>
                <w:highlight w:val="none"/>
              </w:rPr>
              <w:t>项目</w:t>
            </w:r>
            <w:r>
              <w:rPr>
                <w:rFonts w:hint="eastAsia" w:ascii="宋体" w:hAnsi="宋体" w:cs="宋体"/>
                <w:bCs/>
                <w:snapToGrid w:val="0"/>
                <w:color w:val="auto"/>
                <w:kern w:val="0"/>
                <w:sz w:val="21"/>
                <w:szCs w:val="21"/>
                <w:highlight w:val="none"/>
                <w:lang w:val="en-US" w:eastAsia="zh-CN"/>
              </w:rPr>
              <w:t>经理</w:t>
            </w:r>
            <w:r>
              <w:rPr>
                <w:rFonts w:hint="eastAsia" w:ascii="宋体" w:hAnsi="宋体" w:eastAsia="宋体" w:cs="宋体"/>
                <w:bCs/>
                <w:snapToGrid w:val="0"/>
                <w:color w:val="auto"/>
                <w:kern w:val="0"/>
                <w:sz w:val="21"/>
                <w:szCs w:val="21"/>
                <w:highlight w:val="none"/>
              </w:rPr>
              <w:t>资格要求</w:t>
            </w:r>
          </w:p>
        </w:tc>
        <w:tc>
          <w:tcPr>
            <w:tcW w:w="7997"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color w:val="auto"/>
                <w:szCs w:val="21"/>
                <w:highlight w:val="none"/>
                <w:lang w:val="en-US" w:eastAsia="zh-CN"/>
              </w:rPr>
              <w:t>拟派的项目经理</w:t>
            </w:r>
            <w:r>
              <w:rPr>
                <w:rFonts w:hint="eastAsia" w:ascii="宋体" w:hAnsi="宋体" w:eastAsia="宋体" w:cs="Times New Roman"/>
                <w:color w:val="auto"/>
                <w:szCs w:val="21"/>
                <w:highlight w:val="none"/>
                <w:lang w:val="en-US" w:eastAsia="zh-CN"/>
              </w:rPr>
              <w:t>具</w:t>
            </w:r>
            <w:r>
              <w:rPr>
                <w:rFonts w:hint="eastAsia" w:ascii="宋体" w:hAnsi="宋体"/>
                <w:color w:val="auto"/>
                <w:szCs w:val="21"/>
                <w:highlight w:val="none"/>
                <w:lang w:val="en-US" w:eastAsia="zh-CN"/>
              </w:rPr>
              <w:t>备注册在投标单位的建筑工程专业贰级（或以上）注册建造师资格。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其他要求</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1、投标人存在以下情形之一的，不得被确定为中标人：</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①投标人被人民法院列入失信被执行人的；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②投标人或其法定代表人或拟派项目负责人（总监理工程师）前三年有行贿犯罪行为的；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③投标人被市场监督管理部门列入经营异常名录或者严重违法企业名单，且未被移除的；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④投标人被税务部门列入重大税收违法案件当事人的；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⑤在“信用中国”网站上披露仍在公示期的严重失信行为的；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⑥被滁州市县两级各行业主管部门及公管部门取消在一定期限内的投标资格且在取消期限内的；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⑦被滁州市县两级公管部门记入不良行为记录或者信用信息记录，且在披露期内的。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⑧被人力资源社会保障主管部门列入拖欠农民工工资‘黑名单’或因拖欠农民工工资被县级及以上有关行政主管部门限制投标资格且在限制期限内的。</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⑨被列入省级、市级农民工工资支付异常名录的施工企业，限制其参加全市范围内房建和市政工程建设项目投标；列入县级异常名录的施工企业，限制其参加本行政区域内房建和市政建设项目投标。</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color w:val="auto"/>
                <w:highlight w:val="none"/>
                <w:lang w:val="en-US" w:eastAsia="zh-CN"/>
              </w:rPr>
            </w:pPr>
            <w:r>
              <w:rPr>
                <w:rFonts w:hint="eastAsia" w:ascii="宋体" w:hAnsi="宋体" w:eastAsia="宋体" w:cs="宋体"/>
                <w:color w:val="auto"/>
                <w:szCs w:val="21"/>
                <w:highlight w:val="none"/>
                <w:lang w:val="en-US" w:eastAsia="zh-CN"/>
              </w:rPr>
              <w:t>2、投标人所属分公司、办事处等分支机构存在第1条信誉要求①-⑨项情形之一的，接受其被确定为中标人。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招标文件的获取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获取时间</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rPr>
              <w:t>月</w:t>
            </w:r>
            <w:r>
              <w:rPr>
                <w:rFonts w:hint="eastAsia" w:ascii="宋体" w:hAnsi="宋体" w:cs="宋体"/>
                <w:bCs/>
                <w:snapToGrid w:val="0"/>
                <w:color w:val="auto"/>
                <w:kern w:val="0"/>
                <w:szCs w:val="21"/>
                <w:highlight w:val="none"/>
                <w:u w:val="single"/>
                <w:lang w:val="en-US" w:eastAsia="zh-CN"/>
              </w:rPr>
              <w:t xml:space="preserve"> 19</w:t>
            </w:r>
            <w:r>
              <w:rPr>
                <w:rFonts w:hint="eastAsia" w:ascii="宋体" w:hAnsi="宋体" w:eastAsia="宋体" w:cs="宋体"/>
                <w:bCs/>
                <w:snapToGrid w:val="0"/>
                <w:color w:val="auto"/>
                <w:kern w:val="0"/>
                <w:szCs w:val="21"/>
                <w:highlight w:val="none"/>
              </w:rPr>
              <w:t>日</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17</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时</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00</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分至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rPr>
              <w:t>月</w:t>
            </w:r>
            <w:r>
              <w:rPr>
                <w:rFonts w:hint="eastAsia" w:ascii="宋体" w:hAnsi="宋体" w:cs="宋体"/>
                <w:bCs/>
                <w:snapToGrid w:val="0"/>
                <w:color w:val="auto"/>
                <w:kern w:val="0"/>
                <w:szCs w:val="21"/>
                <w:highlight w:val="none"/>
                <w:u w:val="single"/>
                <w:lang w:val="en-US" w:eastAsia="zh-CN"/>
              </w:rPr>
              <w:t xml:space="preserve"> 24 </w:t>
            </w:r>
            <w:r>
              <w:rPr>
                <w:rFonts w:hint="eastAsia" w:ascii="宋体" w:hAnsi="宋体" w:eastAsia="宋体" w:cs="宋体"/>
                <w:bCs/>
                <w:snapToGrid w:val="0"/>
                <w:color w:val="auto"/>
                <w:kern w:val="0"/>
                <w:szCs w:val="21"/>
                <w:highlight w:val="none"/>
              </w:rPr>
              <w:t>日</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10</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时</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0</w:t>
            </w:r>
            <w:r>
              <w:rPr>
                <w:rFonts w:hint="eastAsia" w:ascii="宋体" w:hAnsi="宋体" w:eastAsia="宋体" w:cs="宋体"/>
                <w:bCs/>
                <w:snapToGrid w:val="0"/>
                <w:color w:val="auto"/>
                <w:kern w:val="0"/>
                <w:szCs w:val="21"/>
                <w:highlight w:val="none"/>
                <w:u w:val="single"/>
                <w:lang w:val="en-US" w:eastAsia="zh-CN"/>
              </w:rPr>
              <w:t>0</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Cs w:val="21"/>
                <w:highlight w:val="none"/>
              </w:rPr>
              <w:t>获取方式</w:t>
            </w:r>
          </w:p>
        </w:tc>
        <w:tc>
          <w:tcPr>
            <w:tcW w:w="7997" w:type="dxa"/>
            <w:noWrap w:val="0"/>
            <w:vAlign w:val="center"/>
          </w:tcPr>
          <w:p>
            <w:pPr>
              <w:keepNext w:val="0"/>
              <w:keepLines w:val="0"/>
              <w:pageBreakBefore w:val="0"/>
              <w:kinsoku/>
              <w:overflowPunct/>
              <w:topLinePunct w:val="0"/>
              <w:autoSpaceDE/>
              <w:autoSpaceDN/>
              <w:bidi w:val="0"/>
              <w:snapToGrid/>
              <w:spacing w:line="400" w:lineRule="exact"/>
              <w:jc w:val="left"/>
              <w:textAlignment w:val="baseline"/>
              <w:rPr>
                <w:rFonts w:hint="eastAsia" w:ascii="宋体" w:hAnsi="宋体" w:eastAsia="宋体" w:cs="宋体"/>
                <w:color w:val="auto"/>
                <w:sz w:val="21"/>
                <w:szCs w:val="21"/>
                <w:highlight w:val="none"/>
              </w:rPr>
            </w:pPr>
            <w:r>
              <w:rPr>
                <w:rFonts w:hint="eastAsia" w:ascii="宋体" w:hAnsi="宋体" w:cs="宋体"/>
                <w:bCs/>
                <w:snapToGrid w:val="0"/>
                <w:color w:val="auto"/>
                <w:kern w:val="0"/>
                <w:szCs w:val="21"/>
                <w:highlight w:val="none"/>
              </w:rPr>
              <w:t>潜在投标人须登录</w:t>
            </w:r>
            <w:r>
              <w:rPr>
                <w:rFonts w:hint="eastAsia" w:ascii="宋体" w:hAnsi="宋体" w:cs="宋体"/>
                <w:color w:val="auto"/>
                <w:szCs w:val="21"/>
                <w:highlight w:val="none"/>
              </w:rPr>
              <w:t>“</w:t>
            </w:r>
            <w:r>
              <w:rPr>
                <w:rFonts w:hint="eastAsia" w:ascii="宋体" w:hAnsi="宋体" w:eastAsia="宋体" w:cs="宋体"/>
                <w:color w:val="auto"/>
                <w:kern w:val="2"/>
                <w:sz w:val="21"/>
                <w:szCs w:val="21"/>
                <w:highlight w:val="none"/>
                <w:lang w:val="en-US" w:eastAsia="zh-CN" w:bidi="ar"/>
              </w:rPr>
              <w:t>滁州市兴滁矿业投资集团有限公司</w:t>
            </w:r>
            <w:r>
              <w:rPr>
                <w:rFonts w:hint="eastAsia" w:ascii="宋体" w:hAnsi="宋体" w:cs="宋体"/>
                <w:color w:val="auto"/>
                <w:szCs w:val="21"/>
                <w:highlight w:val="none"/>
              </w:rPr>
              <w:t>”</w:t>
            </w:r>
            <w:r>
              <w:rPr>
                <w:rFonts w:hint="eastAsia" w:ascii="宋体" w:hAnsi="宋体" w:eastAsia="宋体" w:cs="宋体"/>
                <w:color w:val="auto"/>
                <w:kern w:val="2"/>
                <w:sz w:val="21"/>
                <w:szCs w:val="21"/>
                <w:highlight w:val="none"/>
                <w:lang w:val="en-US" w:eastAsia="zh-CN" w:bidi="ar"/>
              </w:rPr>
              <w:t>（http://www.xckytz.com/）</w:t>
            </w:r>
            <w:r>
              <w:rPr>
                <w:rFonts w:hint="eastAsia" w:ascii="宋体" w:hAnsi="宋体" w:cs="宋体"/>
                <w:bCs/>
                <w:snapToGrid w:val="0"/>
                <w:color w:val="auto"/>
                <w:kern w:val="0"/>
                <w:szCs w:val="21"/>
                <w:highlight w:val="none"/>
              </w:rPr>
              <w:t>查阅并下载招标文件</w:t>
            </w:r>
            <w:r>
              <w:rPr>
                <w:rFonts w:hint="eastAsia" w:ascii="宋体" w:hAnsi="宋体" w:cs="宋体"/>
                <w:color w:val="auto"/>
                <w:szCs w:val="21"/>
                <w:highlight w:val="none"/>
                <w:lang w:val="en-US" w:eastAsia="zh-CN"/>
              </w:rPr>
              <w:t>及</w:t>
            </w:r>
            <w:r>
              <w:rPr>
                <w:rFonts w:hint="eastAsia" w:ascii="宋体" w:hAnsi="宋体" w:cs="宋体"/>
                <w:color w:val="auto"/>
                <w:szCs w:val="21"/>
                <w:highlight w:val="none"/>
              </w:rPr>
              <w:t>相关资料</w:t>
            </w:r>
            <w:r>
              <w:rPr>
                <w:rFonts w:hint="eastAsia" w:ascii="宋体" w:hAnsi="宋体" w:cs="宋体"/>
                <w:bCs/>
                <w:snapToGrid w:val="0"/>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招标公告发布时间</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 xml:space="preserve">年4月 </w:t>
            </w:r>
            <w:r>
              <w:rPr>
                <w:rFonts w:hint="eastAsia" w:ascii="宋体" w:hAnsi="宋体" w:cs="宋体"/>
                <w:color w:val="auto"/>
                <w:szCs w:val="21"/>
                <w:highlight w:val="none"/>
                <w:lang w:val="en-US" w:eastAsia="zh-CN"/>
              </w:rPr>
              <w:t xml:space="preserve">19 </w:t>
            </w:r>
            <w:bookmarkStart w:id="1012" w:name="_GoBack"/>
            <w:bookmarkEnd w:id="1012"/>
            <w:r>
              <w:rPr>
                <w:rFonts w:hint="eastAsia" w:ascii="宋体" w:hAnsi="宋体" w:eastAsia="宋体" w:cs="宋体"/>
                <w:color w:val="auto"/>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投标文件递交的截止时间</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年4月 24 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cs="宋体"/>
                <w:color w:val="auto"/>
                <w:szCs w:val="21"/>
                <w:highlight w:val="none"/>
              </w:rPr>
              <w:t>投标文件递交的方式</w:t>
            </w:r>
          </w:p>
        </w:tc>
        <w:tc>
          <w:tcPr>
            <w:tcW w:w="7997" w:type="dxa"/>
            <w:noWrap w:val="0"/>
            <w:vAlign w:val="center"/>
          </w:tcPr>
          <w:p>
            <w:pPr>
              <w:keepNext w:val="0"/>
              <w:keepLines w:val="0"/>
              <w:pageBreakBefore w:val="0"/>
              <w:kinsoku/>
              <w:overflowPunct/>
              <w:topLinePunct w:val="0"/>
              <w:autoSpaceDE/>
              <w:autoSpaceDN/>
              <w:bidi w:val="0"/>
              <w:snapToGrid/>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网上递交，发送至电子邮箱：czsctgczx@163.com（滁州市城投工程咨询管理有限公司邮箱）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开标时间</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Cs w:val="21"/>
                <w:highlight w:val="none"/>
                <w:lang w:val="en-US" w:eastAsia="zh-CN"/>
              </w:rPr>
              <w:t>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开标地点</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滁州市城投工程咨询管理有限公司(滁州市龙蟠大道109号房产大厦六楼6</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招标文件价格</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发布公告的媒介</w:t>
            </w:r>
          </w:p>
        </w:tc>
        <w:tc>
          <w:tcPr>
            <w:tcW w:w="799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kern w:val="2"/>
                <w:sz w:val="21"/>
                <w:szCs w:val="21"/>
                <w:highlight w:val="none"/>
                <w:lang w:val="en-US" w:eastAsia="zh-CN" w:bidi="ar"/>
              </w:rPr>
              <w:t>“滁州市兴滁矿业投资集团有限公司</w:t>
            </w:r>
            <w:r>
              <w:rPr>
                <w:rFonts w:hint="eastAsia" w:ascii="宋体" w:hAnsi="宋体" w:cs="宋体"/>
                <w:color w:val="auto"/>
                <w:szCs w:val="21"/>
                <w:highlight w:val="none"/>
              </w:rPr>
              <w:t>”</w:t>
            </w:r>
            <w:r>
              <w:rPr>
                <w:rFonts w:hint="eastAsia" w:ascii="宋体" w:hAnsi="宋体" w:eastAsia="宋体" w:cs="宋体"/>
                <w:color w:val="auto"/>
                <w:kern w:val="2"/>
                <w:sz w:val="21"/>
                <w:szCs w:val="21"/>
                <w:highlight w:val="none"/>
                <w:lang w:val="en-US" w:eastAsia="zh-CN" w:bidi="ar"/>
              </w:rPr>
              <w:t>（http://www.xckytz.com/）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sz w:val="21"/>
                <w:szCs w:val="21"/>
                <w:highlight w:val="none"/>
              </w:rPr>
              <w:t>投标保证金收取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保证金收取</w:t>
            </w:r>
          </w:p>
        </w:tc>
        <w:tc>
          <w:tcPr>
            <w:tcW w:w="7997"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Cs w:val="21"/>
                <w:highlight w:val="none"/>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kinsoku/>
              <w:overflowPunct/>
              <w:topLinePunct w:val="0"/>
              <w:autoSpaceDE/>
              <w:autoSpaceDN/>
              <w:bidi w:val="0"/>
              <w:snapToGrid/>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color w:val="auto"/>
                <w:kern w:val="0"/>
                <w:sz w:val="21"/>
                <w:szCs w:val="21"/>
                <w:highlight w:val="none"/>
                <w:lang w:val="en-US" w:eastAsia="zh-CN"/>
              </w:rPr>
              <w:t>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numPr>
                <w:ilvl w:val="0"/>
                <w:numId w:val="1"/>
              </w:numPr>
              <w:kinsoku/>
              <w:overflowPunct/>
              <w:topLinePunct w:val="0"/>
              <w:autoSpaceDE/>
              <w:autoSpaceDN/>
              <w:bidi w:val="0"/>
              <w:snapToGrid/>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施工场地及周边场地、道路、绿化等，若被施工方损坏，施工方必须无偿按照原貌恢复。</w:t>
            </w:r>
          </w:p>
          <w:p>
            <w:pPr>
              <w:keepNext w:val="0"/>
              <w:keepLines w:val="0"/>
              <w:pageBreakBefore w:val="0"/>
              <w:numPr>
                <w:ilvl w:val="0"/>
                <w:numId w:val="1"/>
              </w:numPr>
              <w:kinsoku/>
              <w:overflowPunct/>
              <w:topLinePunct w:val="0"/>
              <w:autoSpaceDE/>
              <w:autoSpaceDN/>
              <w:bidi w:val="0"/>
              <w:snapToGrid/>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自行勘察施工现场情况，因</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未勘察现场而造成的损失由</w:t>
            </w:r>
            <w:r>
              <w:rPr>
                <w:rFonts w:hint="eastAsia" w:ascii="宋体" w:hAnsi="宋体" w:eastAsia="宋体" w:cs="宋体"/>
                <w:color w:val="auto"/>
                <w:szCs w:val="21"/>
                <w:highlight w:val="none"/>
                <w:lang w:val="en-US" w:eastAsia="zh-CN"/>
              </w:rPr>
              <w:t>投标人自行</w:t>
            </w:r>
            <w:r>
              <w:rPr>
                <w:rFonts w:hint="eastAsia" w:ascii="宋体" w:hAnsi="宋体" w:eastAsia="宋体" w:cs="宋体"/>
                <w:color w:val="auto"/>
                <w:szCs w:val="21"/>
                <w:highlight w:val="none"/>
              </w:rPr>
              <w:t>承担。</w:t>
            </w:r>
          </w:p>
          <w:p>
            <w:pPr>
              <w:keepNext w:val="0"/>
              <w:keepLines w:val="0"/>
              <w:pageBreakBefore w:val="0"/>
              <w:numPr>
                <w:ilvl w:val="0"/>
                <w:numId w:val="1"/>
              </w:numPr>
              <w:kinsoku/>
              <w:overflowPunct/>
              <w:topLinePunct w:val="0"/>
              <w:autoSpaceDE/>
              <w:autoSpaceDN/>
              <w:bidi w:val="0"/>
              <w:snapToGrid/>
              <w:spacing w:line="400" w:lineRule="exact"/>
              <w:jc w:val="left"/>
              <w:rPr>
                <w:rFonts w:hint="default" w:eastAsia="宋体"/>
                <w:color w:val="auto"/>
                <w:highlight w:val="none"/>
                <w:lang w:val="en-US" w:eastAsia="zh-CN"/>
              </w:rPr>
            </w:pPr>
            <w:r>
              <w:rPr>
                <w:rFonts w:hint="eastAsia" w:ascii="宋体" w:hAnsi="宋体" w:eastAsia="宋体" w:cs="宋体"/>
                <w:color w:val="auto"/>
                <w:szCs w:val="21"/>
                <w:highlight w:val="none"/>
                <w:lang w:val="en-US" w:eastAsia="zh-CN"/>
              </w:rPr>
              <w:t>中标人在合同履行期内与各方</w:t>
            </w:r>
            <w:r>
              <w:rPr>
                <w:rFonts w:hint="eastAsia" w:ascii="宋体" w:hAnsi="宋体" w:eastAsia="宋体" w:cs="宋体"/>
                <w:color w:val="auto"/>
                <w:szCs w:val="21"/>
                <w:highlight w:val="none"/>
              </w:rPr>
              <w:t>发生</w:t>
            </w:r>
            <w:r>
              <w:rPr>
                <w:rFonts w:hint="eastAsia" w:ascii="宋体" w:hAnsi="宋体" w:eastAsia="宋体" w:cs="宋体"/>
                <w:color w:val="auto"/>
                <w:szCs w:val="21"/>
                <w:highlight w:val="none"/>
                <w:lang w:val="en-US" w:eastAsia="zh-CN"/>
              </w:rPr>
              <w:t>各种</w:t>
            </w:r>
            <w:r>
              <w:rPr>
                <w:rFonts w:hint="eastAsia" w:ascii="宋体" w:hAnsi="宋体" w:eastAsia="宋体" w:cs="宋体"/>
                <w:color w:val="auto"/>
                <w:szCs w:val="21"/>
                <w:highlight w:val="none"/>
              </w:rPr>
              <w:t>矛盾、纠纷时，</w:t>
            </w:r>
            <w:r>
              <w:rPr>
                <w:rFonts w:hint="eastAsia" w:ascii="宋体" w:hAnsi="宋体" w:eastAsia="宋体" w:cs="宋体"/>
                <w:color w:val="auto"/>
                <w:szCs w:val="21"/>
                <w:highlight w:val="none"/>
                <w:lang w:val="en-US" w:eastAsia="zh-CN"/>
              </w:rPr>
              <w:t>由中标人自主解决。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0"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招标人名称</w:t>
            </w:r>
          </w:p>
        </w:tc>
        <w:tc>
          <w:tcPr>
            <w:tcW w:w="7997" w:type="dxa"/>
            <w:noWrap w:val="0"/>
            <w:vAlign w:val="center"/>
          </w:tcPr>
          <w:p>
            <w:pPr>
              <w:keepNext w:val="0"/>
              <w:keepLines w:val="0"/>
              <w:pageBreakBefore w:val="0"/>
              <w:widowControl/>
              <w:shd w:val="clear" w:color="auto" w:fill="auto"/>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eastAsia="zh-CN"/>
              </w:rPr>
              <w:t>滁州市兴天矿业有限公司</w:t>
            </w:r>
            <w:r>
              <w:rPr>
                <w:rFonts w:hint="eastAsia" w:ascii="宋体" w:hAnsi="宋体" w:eastAsia="宋体" w:cs="宋体"/>
                <w:color w:val="auto"/>
                <w:kern w:val="0"/>
                <w:sz w:val="21"/>
                <w:szCs w:val="21"/>
                <w:highlight w:val="non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招标人地址</w:t>
            </w:r>
          </w:p>
        </w:tc>
        <w:tc>
          <w:tcPr>
            <w:tcW w:w="7997" w:type="dxa"/>
            <w:noWrap w:val="0"/>
            <w:vAlign w:val="center"/>
          </w:tcPr>
          <w:p>
            <w:pPr>
              <w:keepNext w:val="0"/>
              <w:keepLines w:val="0"/>
              <w:pageBreakBefore w:val="0"/>
              <w:widowControl/>
              <w:shd w:val="clear" w:color="auto" w:fill="auto"/>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天长市广陵路南侧平安路东侧金融大楼B-17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招标人联系人</w:t>
            </w:r>
          </w:p>
        </w:tc>
        <w:tc>
          <w:tcPr>
            <w:tcW w:w="7997" w:type="dxa"/>
            <w:noWrap w:val="0"/>
            <w:vAlign w:val="center"/>
          </w:tcPr>
          <w:p>
            <w:pPr>
              <w:keepNext w:val="0"/>
              <w:keepLines w:val="0"/>
              <w:pageBreakBefore w:val="0"/>
              <w:widowControl/>
              <w:shd w:val="clear" w:color="auto" w:fill="auto"/>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李超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招标人电话</w:t>
            </w:r>
          </w:p>
        </w:tc>
        <w:tc>
          <w:tcPr>
            <w:tcW w:w="7997" w:type="dxa"/>
            <w:noWrap w:val="0"/>
            <w:vAlign w:val="center"/>
          </w:tcPr>
          <w:p>
            <w:pPr>
              <w:keepNext w:val="0"/>
              <w:keepLines w:val="0"/>
              <w:pageBreakBefore w:val="0"/>
              <w:widowControl/>
              <w:shd w:val="clear" w:color="auto" w:fill="auto"/>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sz w:val="21"/>
                <w:szCs w:val="21"/>
                <w:highlight w:val="none"/>
                <w:lang w:eastAsia="zh-CN"/>
              </w:rPr>
              <w:t>15056501345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招标代理机构名称</w:t>
            </w:r>
          </w:p>
        </w:tc>
        <w:tc>
          <w:tcPr>
            <w:tcW w:w="7997" w:type="dxa"/>
            <w:noWrap w:val="0"/>
            <w:vAlign w:val="center"/>
          </w:tcPr>
          <w:p>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rPr>
              <w:t>滁州市城投工程咨询管理有限公司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招标代理机构地址</w:t>
            </w:r>
          </w:p>
        </w:tc>
        <w:tc>
          <w:tcPr>
            <w:tcW w:w="7997" w:type="dxa"/>
            <w:noWrap w:val="0"/>
            <w:vAlign w:val="center"/>
          </w:tcPr>
          <w:p>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rPr>
              <w:t>滁州市龙蟠大道109号房产大厦6楼</w:t>
            </w:r>
            <w:r>
              <w:rPr>
                <w:rFonts w:hint="eastAsia" w:ascii="宋体" w:hAnsi="宋体" w:eastAsia="宋体" w:cs="宋体"/>
                <w:color w:val="auto"/>
                <w:sz w:val="21"/>
                <w:szCs w:val="21"/>
                <w:highlight w:val="none"/>
                <w:lang w:val="en-US" w:eastAsia="zh-CN"/>
              </w:rPr>
              <w:t>605室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招标代理机构    联系人</w:t>
            </w:r>
          </w:p>
        </w:tc>
        <w:tc>
          <w:tcPr>
            <w:tcW w:w="7997" w:type="dxa"/>
            <w:noWrap w:val="0"/>
            <w:vAlign w:val="center"/>
          </w:tcPr>
          <w:p>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田甜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代理机构电话</w:t>
            </w:r>
          </w:p>
        </w:tc>
        <w:tc>
          <w:tcPr>
            <w:tcW w:w="7997" w:type="dxa"/>
            <w:noWrap w:val="0"/>
            <w:vAlign w:val="center"/>
          </w:tcPr>
          <w:p>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eastAsia="zh-CN"/>
              </w:rPr>
              <w:t>0550-3519519</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15955005370</w:t>
            </w:r>
          </w:p>
        </w:tc>
      </w:tr>
    </w:tbl>
    <w:p>
      <w:pPr>
        <w:pStyle w:val="43"/>
        <w:spacing w:beforeLines="50" w:afterLines="50" w:line="440" w:lineRule="exact"/>
        <w:rPr>
          <w:bCs/>
          <w:color w:val="auto"/>
          <w:szCs w:val="32"/>
          <w:highlight w:val="none"/>
        </w:rPr>
      </w:pPr>
      <w:bookmarkStart w:id="31" w:name="_Toc78803321"/>
      <w:r>
        <w:rPr>
          <w:rFonts w:hint="eastAsia"/>
          <w:bCs/>
          <w:color w:val="auto"/>
          <w:szCs w:val="32"/>
          <w:highlight w:val="none"/>
        </w:rPr>
        <w:br w:type="page"/>
      </w:r>
      <w:r>
        <w:rPr>
          <w:rFonts w:hint="eastAsia"/>
          <w:bCs/>
          <w:color w:val="auto"/>
          <w:szCs w:val="32"/>
          <w:highlight w:val="none"/>
        </w:rPr>
        <w:t>第一章  投标人须知</w:t>
      </w:r>
      <w:bookmarkEnd w:id="19"/>
      <w:bookmarkEnd w:id="20"/>
      <w:bookmarkEnd w:id="21"/>
      <w:bookmarkEnd w:id="22"/>
      <w:bookmarkEnd w:id="23"/>
      <w:bookmarkEnd w:id="24"/>
      <w:bookmarkEnd w:id="25"/>
      <w:bookmarkEnd w:id="26"/>
      <w:bookmarkEnd w:id="27"/>
      <w:bookmarkEnd w:id="28"/>
      <w:bookmarkEnd w:id="29"/>
      <w:bookmarkEnd w:id="30"/>
      <w:bookmarkEnd w:id="31"/>
    </w:p>
    <w:p>
      <w:pPr>
        <w:spacing w:beforeLines="50" w:afterLines="50" w:line="440" w:lineRule="exact"/>
        <w:jc w:val="center"/>
        <w:rPr>
          <w:b/>
          <w:bCs/>
          <w:color w:val="auto"/>
          <w:sz w:val="28"/>
          <w:szCs w:val="28"/>
          <w:highlight w:val="none"/>
        </w:rPr>
      </w:pPr>
      <w:bookmarkStart w:id="32" w:name="_Toc35425051"/>
      <w:bookmarkStart w:id="33" w:name="_Toc35424884"/>
      <w:bookmarkStart w:id="34" w:name="_Toc144974496"/>
      <w:bookmarkStart w:id="35" w:name="_Toc246996917"/>
      <w:bookmarkStart w:id="36" w:name="_Toc247085688"/>
      <w:bookmarkStart w:id="37" w:name="_Toc179632545"/>
      <w:bookmarkStart w:id="38" w:name="_Toc246996174"/>
      <w:bookmarkStart w:id="39" w:name="_Toc506107268"/>
      <w:bookmarkStart w:id="40" w:name="_Toc15058845"/>
      <w:bookmarkStart w:id="41" w:name="_Toc324404814"/>
      <w:bookmarkStart w:id="42" w:name="_Toc152045528"/>
      <w:bookmarkStart w:id="43" w:name="_Toc152042304"/>
      <w:r>
        <w:rPr>
          <w:rFonts w:hint="eastAsia"/>
          <w:b/>
          <w:bCs/>
          <w:color w:val="auto"/>
          <w:sz w:val="28"/>
          <w:szCs w:val="28"/>
          <w:highlight w:val="none"/>
        </w:rPr>
        <w:t>投标人须知前附表</w:t>
      </w:r>
      <w:bookmarkEnd w:id="32"/>
      <w:bookmarkEnd w:id="33"/>
      <w:bookmarkEnd w:id="34"/>
      <w:bookmarkEnd w:id="35"/>
      <w:bookmarkEnd w:id="36"/>
      <w:bookmarkEnd w:id="37"/>
      <w:bookmarkEnd w:id="38"/>
      <w:bookmarkEnd w:id="39"/>
      <w:bookmarkEnd w:id="40"/>
      <w:bookmarkEnd w:id="41"/>
      <w:bookmarkEnd w:id="42"/>
      <w:bookmarkEnd w:id="43"/>
    </w:p>
    <w:tbl>
      <w:tblPr>
        <w:tblStyle w:val="46"/>
        <w:tblW w:w="10328" w:type="dxa"/>
        <w:jc w:val="center"/>
        <w:tblLayout w:type="fixed"/>
        <w:tblCellMar>
          <w:top w:w="0" w:type="dxa"/>
          <w:left w:w="108" w:type="dxa"/>
          <w:bottom w:w="0" w:type="dxa"/>
          <w:right w:w="108" w:type="dxa"/>
        </w:tblCellMar>
      </w:tblPr>
      <w:tblGrid>
        <w:gridCol w:w="868"/>
        <w:gridCol w:w="910"/>
        <w:gridCol w:w="1299"/>
        <w:gridCol w:w="7251"/>
      </w:tblGrid>
      <w:tr>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b/>
                <w:color w:val="auto"/>
                <w:szCs w:val="21"/>
                <w:highlight w:val="none"/>
              </w:rPr>
            </w:pPr>
            <w:bookmarkStart w:id="44" w:name="_Toc247085689"/>
            <w:bookmarkStart w:id="45" w:name="_Toc246996918"/>
            <w:bookmarkStart w:id="46" w:name="_Toc152045529"/>
            <w:bookmarkStart w:id="47" w:name="_Toc179632546"/>
            <w:bookmarkStart w:id="48" w:name="_Toc506107269"/>
            <w:bookmarkStart w:id="49" w:name="_Toc324404815"/>
            <w:bookmarkStart w:id="50" w:name="_Toc144974497"/>
            <w:bookmarkStart w:id="51" w:name="_Toc152042305"/>
            <w:bookmarkStart w:id="52" w:name="_Toc246996175"/>
            <w:r>
              <w:rPr>
                <w:rFonts w:hint="eastAsia" w:ascii="宋体" w:hAnsi="宋体" w:cs="宋体"/>
                <w:b/>
                <w:color w:val="auto"/>
                <w:szCs w:val="21"/>
                <w:highlight w:val="none"/>
              </w:rPr>
              <w:t>序号</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b/>
                <w:color w:val="auto"/>
                <w:szCs w:val="21"/>
                <w:highlight w:val="none"/>
              </w:rPr>
            </w:pPr>
            <w:r>
              <w:rPr>
                <w:rFonts w:hint="eastAsia" w:ascii="宋体" w:hAnsi="宋体" w:cs="宋体"/>
                <w:b/>
                <w:color w:val="auto"/>
                <w:szCs w:val="21"/>
                <w:highlight w:val="none"/>
              </w:rPr>
              <w:t>条  款  名  称</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招标人</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jc w:val="left"/>
              <w:textAlignment w:val="auto"/>
              <w:rPr>
                <w:rFonts w:hint="eastAsia" w:eastAsia="宋体"/>
                <w:color w:val="auto"/>
                <w:kern w:val="2"/>
                <w:sz w:val="21"/>
                <w:szCs w:val="21"/>
                <w:highlight w:val="none"/>
                <w:lang w:eastAsia="zh-CN"/>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招标代理机构</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项目名称</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建设地点</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textAlignment w:val="auto"/>
              <w:rPr>
                <w:rFonts w:ascii="宋体" w:hAnsi="宋体" w:cs="宋体"/>
                <w:color w:val="auto"/>
                <w:szCs w:val="21"/>
                <w:highlight w:val="none"/>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trHeight w:val="555"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jc w:val="center"/>
              <w:textAlignment w:val="auto"/>
              <w:rPr>
                <w:rFonts w:ascii="宋体" w:hAnsi="宋体" w:cs="宋体"/>
                <w:color w:val="auto"/>
                <w:szCs w:val="21"/>
                <w:highlight w:val="none"/>
              </w:rPr>
            </w:pPr>
            <w:r>
              <w:rPr>
                <w:rFonts w:hint="eastAsia" w:ascii="宋体" w:hAnsi="宋体" w:cs="宋体"/>
                <w:color w:val="auto"/>
                <w:sz w:val="21"/>
                <w:szCs w:val="21"/>
                <w:highlight w:val="none"/>
              </w:rPr>
              <w:t>资金落实情况</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textAlignment w:val="auto"/>
              <w:rPr>
                <w:rFonts w:ascii="宋体" w:hAnsi="宋体" w:cs="宋体"/>
                <w:color w:val="auto"/>
                <w:szCs w:val="21"/>
                <w:highlight w:val="none"/>
              </w:rPr>
            </w:pPr>
            <w:r>
              <w:rPr>
                <w:rFonts w:hint="eastAsia" w:ascii="宋体" w:hAnsi="宋体" w:cs="宋体"/>
                <w:color w:val="auto"/>
                <w:sz w:val="21"/>
                <w:szCs w:val="21"/>
                <w:highlight w:val="none"/>
                <w:lang w:val="en-US" w:eastAsia="zh-CN"/>
              </w:rPr>
              <w:t>已落实</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招标范围</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color w:val="auto"/>
                <w:szCs w:val="21"/>
                <w:highlight w:val="none"/>
              </w:rPr>
              <w:t>详见招标公告</w:t>
            </w:r>
          </w:p>
        </w:tc>
      </w:tr>
      <w:tr>
        <w:tblPrEx>
          <w:tblCellMar>
            <w:top w:w="0" w:type="dxa"/>
            <w:left w:w="108" w:type="dxa"/>
            <w:bottom w:w="0" w:type="dxa"/>
            <w:right w:w="108" w:type="dxa"/>
          </w:tblCellMar>
        </w:tblPrEx>
        <w:trPr>
          <w:trHeight w:val="496"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评标办法</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94"/>
              <w:keepNext w:val="0"/>
              <w:keepLines w:val="0"/>
              <w:pageBreakBefore w:val="0"/>
              <w:kinsoku/>
              <w:wordWrap/>
              <w:overflowPunct/>
              <w:autoSpaceDN/>
              <w:bidi w:val="0"/>
              <w:spacing w:line="440" w:lineRule="exact"/>
              <w:textAlignment w:val="auto"/>
              <w:rPr>
                <w:rFonts w:ascii="宋体" w:hAnsi="宋体" w:cs="宋体"/>
                <w:color w:val="auto"/>
                <w:highlight w:val="none"/>
              </w:rPr>
            </w:pPr>
            <w:r>
              <w:rPr>
                <w:rFonts w:hint="eastAsia" w:ascii="宋体" w:hAnsi="宋体" w:cs="宋体"/>
                <w:color w:val="auto"/>
                <w:highlight w:val="none"/>
              </w:rPr>
              <w:t>综合评估法</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工期</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cs="宋体"/>
                <w:b/>
                <w:color w:val="auto"/>
                <w:sz w:val="21"/>
                <w:szCs w:val="21"/>
                <w:highlight w:val="none"/>
                <w:lang w:val="en-US" w:eastAsia="zh-CN"/>
              </w:rPr>
            </w:pPr>
            <w:r>
              <w:rPr>
                <w:rFonts w:hint="eastAsia" w:ascii="宋体" w:hAnsi="宋体" w:cs="宋体"/>
                <w:b/>
                <w:color w:val="auto"/>
                <w:sz w:val="21"/>
                <w:szCs w:val="21"/>
                <w:highlight w:val="none"/>
              </w:rPr>
              <w:t>计划工期：</w:t>
            </w:r>
            <w:r>
              <w:rPr>
                <w:rFonts w:hint="eastAsia" w:ascii="宋体" w:hAnsi="宋体" w:cs="宋体"/>
                <w:b/>
                <w:color w:val="auto"/>
                <w:sz w:val="21"/>
                <w:szCs w:val="21"/>
                <w:highlight w:val="none"/>
                <w:lang w:val="en-US" w:eastAsia="zh-CN"/>
              </w:rPr>
              <w:t>不高于</w:t>
            </w:r>
            <w:r>
              <w:rPr>
                <w:rFonts w:hint="eastAsia" w:ascii="宋体" w:hAnsi="宋体" w:cs="宋体"/>
                <w:b/>
                <w:color w:val="auto"/>
                <w:sz w:val="21"/>
                <w:szCs w:val="21"/>
                <w:highlight w:val="none"/>
                <w:u w:val="single"/>
                <w:lang w:val="en-US" w:eastAsia="zh-CN"/>
              </w:rPr>
              <w:t>45</w:t>
            </w:r>
            <w:r>
              <w:rPr>
                <w:rFonts w:hint="eastAsia" w:ascii="宋体" w:hAnsi="宋体" w:cs="宋体"/>
                <w:b/>
                <w:color w:val="auto"/>
                <w:sz w:val="21"/>
                <w:szCs w:val="21"/>
                <w:highlight w:val="none"/>
                <w:u w:val="none"/>
                <w:lang w:val="en-US" w:eastAsia="zh-CN"/>
              </w:rPr>
              <w:t>个</w:t>
            </w:r>
            <w:r>
              <w:rPr>
                <w:rFonts w:hint="eastAsia" w:ascii="宋体" w:hAnsi="宋体" w:cs="宋体"/>
                <w:b/>
                <w:color w:val="auto"/>
                <w:sz w:val="21"/>
                <w:szCs w:val="21"/>
                <w:highlight w:val="none"/>
                <w:lang w:val="en-US" w:eastAsia="zh-CN"/>
              </w:rPr>
              <w:t>日历天</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计划开工日期：双方签订合同时明确</w:t>
            </w:r>
            <w:r>
              <w:rPr>
                <w:rFonts w:hint="eastAsia" w:ascii="宋体" w:hAnsi="宋体" w:cs="宋体"/>
                <w:color w:val="auto"/>
                <w:sz w:val="21"/>
                <w:szCs w:val="21"/>
                <w:highlight w:val="none"/>
                <w:lang w:val="en-US" w:eastAsia="zh-CN"/>
              </w:rPr>
              <w:t xml:space="preserve"> </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计划竣工日期：双方签订合同时明确</w:t>
            </w:r>
          </w:p>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color w:val="auto"/>
                <w:sz w:val="21"/>
                <w:szCs w:val="21"/>
                <w:highlight w:val="none"/>
              </w:rPr>
              <w:t>注：投标人自报的承诺工期为考核标准。工期每延误一天，处以</w:t>
            </w:r>
            <w:r>
              <w:rPr>
                <w:rFonts w:hint="eastAsia" w:ascii="宋体" w:hAnsi="宋体" w:cs="宋体"/>
                <w:color w:val="auto"/>
                <w:sz w:val="21"/>
                <w:szCs w:val="21"/>
                <w:highlight w:val="none"/>
                <w:u w:val="single"/>
                <w:lang w:val="en-US" w:eastAsia="zh-CN"/>
              </w:rPr>
              <w:t xml:space="preserve"> 1000 </w:t>
            </w:r>
            <w:r>
              <w:rPr>
                <w:rFonts w:hint="eastAsia" w:ascii="宋体" w:hAnsi="宋体" w:cs="宋体"/>
                <w:color w:val="auto"/>
                <w:sz w:val="21"/>
                <w:szCs w:val="21"/>
                <w:highlight w:val="none"/>
              </w:rPr>
              <w:t xml:space="preserve">元违约金，工期提前不奖励。   </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质量要求</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color w:val="auto"/>
                <w:kern w:val="0"/>
                <w:szCs w:val="21"/>
                <w:highlight w:val="none"/>
              </w:rPr>
              <w:t>必须达到国家工程施工质量验收</w:t>
            </w:r>
            <w:r>
              <w:rPr>
                <w:rFonts w:hint="eastAsia" w:ascii="宋体" w:hAnsi="宋体" w:cs="宋体"/>
                <w:color w:val="auto"/>
                <w:kern w:val="0"/>
                <w:szCs w:val="21"/>
                <w:highlight w:val="none"/>
                <w:u w:val="single"/>
              </w:rPr>
              <w:t xml:space="preserve"> 合格 </w:t>
            </w:r>
            <w:r>
              <w:rPr>
                <w:rFonts w:hint="eastAsia" w:ascii="宋体" w:hAnsi="宋体" w:cs="宋体"/>
                <w:color w:val="auto"/>
                <w:kern w:val="0"/>
                <w:szCs w:val="21"/>
                <w:highlight w:val="none"/>
              </w:rPr>
              <w:t>标准</w:t>
            </w:r>
            <w:r>
              <w:rPr>
                <w:rFonts w:hint="eastAsia" w:ascii="宋体" w:hAnsi="宋体" w:cs="宋体"/>
                <w:color w:val="auto"/>
                <w:szCs w:val="21"/>
                <w:highlight w:val="none"/>
              </w:rPr>
              <w:t xml:space="preserve">。 </w:t>
            </w:r>
          </w:p>
        </w:tc>
      </w:tr>
      <w:tr>
        <w:tblPrEx>
          <w:tblCellMar>
            <w:top w:w="0" w:type="dxa"/>
            <w:left w:w="108" w:type="dxa"/>
            <w:bottom w:w="0" w:type="dxa"/>
            <w:right w:w="108" w:type="dxa"/>
          </w:tblCellMar>
        </w:tblPrEx>
        <w:trPr>
          <w:trHeight w:val="90" w:hRule="atLeast"/>
          <w:jc w:val="center"/>
        </w:trPr>
        <w:tc>
          <w:tcPr>
            <w:tcW w:w="868"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投标人资质条件、能力和信誉</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trHeight w:val="575" w:hRule="atLeast"/>
          <w:jc w:val="center"/>
        </w:trPr>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招标文件发布时间</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pacing w:val="-4"/>
                <w:kern w:val="0"/>
                <w:szCs w:val="21"/>
                <w:highlight w:val="none"/>
              </w:rPr>
            </w:pPr>
            <w:r>
              <w:rPr>
                <w:rFonts w:hint="eastAsia" w:ascii="宋体" w:hAnsi="宋体" w:cs="宋体"/>
                <w:color w:val="auto"/>
                <w:spacing w:val="-4"/>
                <w:kern w:val="0"/>
                <w:szCs w:val="21"/>
                <w:highlight w:val="none"/>
              </w:rPr>
              <w:t>踏勘现场</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19"/>
              <w:keepNext w:val="0"/>
              <w:keepLines w:val="0"/>
              <w:pageBreakBefore w:val="0"/>
              <w:kinsoku/>
              <w:wordWrap/>
              <w:overflowPunct/>
              <w:topLinePunct/>
              <w:autoSpaceDN/>
              <w:bidi w:val="0"/>
              <w:spacing w:line="440" w:lineRule="exact"/>
              <w:textAlignment w:val="auto"/>
              <w:rPr>
                <w:rFonts w:hAnsi="宋体" w:cs="宋体"/>
                <w:color w:val="auto"/>
                <w:spacing w:val="-4"/>
                <w:kern w:val="0"/>
                <w:sz w:val="21"/>
                <w:szCs w:val="21"/>
                <w:highlight w:val="none"/>
              </w:rPr>
            </w:pPr>
            <w:r>
              <w:rPr>
                <w:rFonts w:hint="eastAsia" w:hAnsi="宋体" w:cs="宋体"/>
                <w:color w:val="auto"/>
                <w:sz w:val="21"/>
                <w:szCs w:val="21"/>
                <w:highlight w:val="none"/>
              </w:rPr>
              <w:t>☑</w:t>
            </w:r>
            <w:r>
              <w:rPr>
                <w:rFonts w:hint="eastAsia" w:hAnsi="宋体" w:cs="宋体"/>
                <w:color w:val="auto"/>
                <w:spacing w:val="-4"/>
                <w:kern w:val="0"/>
                <w:sz w:val="21"/>
                <w:szCs w:val="21"/>
                <w:highlight w:val="none"/>
              </w:rPr>
              <w:t>不组织，投标人自行组织踏勘现场</w:t>
            </w:r>
            <w:r>
              <w:rPr>
                <w:rFonts w:hint="eastAsia" w:hAnsi="宋体" w:cs="宋体"/>
                <w:color w:val="auto"/>
                <w:sz w:val="21"/>
                <w:szCs w:val="21"/>
                <w:highlight w:val="none"/>
              </w:rPr>
              <w:t>；□组织</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pacing w:val="-4"/>
                <w:kern w:val="0"/>
                <w:szCs w:val="21"/>
                <w:highlight w:val="none"/>
              </w:rPr>
            </w:pPr>
            <w:r>
              <w:rPr>
                <w:rFonts w:hint="eastAsia" w:ascii="宋体" w:hAnsi="宋体" w:cs="宋体"/>
                <w:color w:val="auto"/>
                <w:spacing w:val="-4"/>
                <w:kern w:val="0"/>
                <w:szCs w:val="21"/>
                <w:highlight w:val="none"/>
              </w:rPr>
              <w:t>投标预备会</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19"/>
              <w:keepNext w:val="0"/>
              <w:keepLines w:val="0"/>
              <w:pageBreakBefore w:val="0"/>
              <w:kinsoku/>
              <w:wordWrap/>
              <w:overflowPunct/>
              <w:topLinePunct/>
              <w:autoSpaceDN/>
              <w:bidi w:val="0"/>
              <w:spacing w:line="440" w:lineRule="exact"/>
              <w:textAlignment w:val="auto"/>
              <w:rPr>
                <w:rFonts w:hAnsi="宋体" w:cs="宋体"/>
                <w:color w:val="auto"/>
                <w:spacing w:val="-4"/>
                <w:kern w:val="0"/>
                <w:sz w:val="21"/>
                <w:szCs w:val="21"/>
                <w:highlight w:val="none"/>
              </w:rPr>
            </w:pPr>
            <w:r>
              <w:rPr>
                <w:rFonts w:hint="eastAsia" w:hAnsi="宋体" w:cs="宋体"/>
                <w:color w:val="auto"/>
                <w:sz w:val="21"/>
                <w:szCs w:val="21"/>
                <w:highlight w:val="none"/>
                <w:lang w:eastAsia="zh-CN"/>
              </w:rPr>
              <w:t>☑</w:t>
            </w:r>
            <w:r>
              <w:rPr>
                <w:rFonts w:hint="eastAsia" w:hAnsi="宋体" w:cs="宋体"/>
                <w:color w:val="auto"/>
                <w:spacing w:val="-4"/>
                <w:kern w:val="0"/>
                <w:sz w:val="21"/>
                <w:szCs w:val="21"/>
                <w:highlight w:val="none"/>
              </w:rPr>
              <w:t>不召开</w:t>
            </w:r>
            <w:r>
              <w:rPr>
                <w:rFonts w:hint="eastAsia" w:hAnsi="宋体" w:cs="宋体"/>
                <w:color w:val="auto"/>
                <w:sz w:val="21"/>
                <w:szCs w:val="21"/>
                <w:highlight w:val="none"/>
              </w:rPr>
              <w:t>；</w:t>
            </w:r>
            <w:r>
              <w:rPr>
                <w:rFonts w:hint="eastAsia" w:hAnsi="宋体" w:cs="宋体"/>
                <w:color w:val="auto"/>
                <w:sz w:val="21"/>
                <w:szCs w:val="21"/>
                <w:highlight w:val="none"/>
                <w:lang w:eastAsia="zh-CN"/>
              </w:rPr>
              <w:t>□</w:t>
            </w:r>
            <w:r>
              <w:rPr>
                <w:rFonts w:hint="eastAsia" w:hAnsi="宋体" w:cs="宋体"/>
                <w:color w:val="auto"/>
                <w:sz w:val="21"/>
                <w:szCs w:val="21"/>
                <w:highlight w:val="none"/>
              </w:rPr>
              <w:t>召开</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投标人提出问题的截止时间及方式</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25"/>
              <w:keepNext w:val="0"/>
              <w:keepLines w:val="0"/>
              <w:pageBreakBefore w:val="0"/>
              <w:kinsoku/>
              <w:wordWrap/>
              <w:overflowPunct/>
              <w:autoSpaceDN/>
              <w:bidi w:val="0"/>
              <w:spacing w:line="440" w:lineRule="exact"/>
              <w:textAlignment w:val="auto"/>
              <w:rPr>
                <w:rFonts w:hint="eastAsia" w:hAnsi="宋体" w:eastAsia="宋体" w:cs="宋体"/>
                <w:color w:val="auto"/>
                <w:szCs w:val="21"/>
                <w:highlight w:val="none"/>
                <w:lang w:eastAsia="zh-CN"/>
              </w:rPr>
            </w:pPr>
            <w:r>
              <w:rPr>
                <w:rFonts w:hint="eastAsia" w:ascii="宋体" w:hAnsi="宋体" w:cs="宋体"/>
                <w:color w:val="auto"/>
                <w:kern w:val="0"/>
                <w:szCs w:val="21"/>
                <w:highlight w:val="none"/>
              </w:rPr>
              <w:t>如投标人对招标文件有疑问，</w:t>
            </w:r>
            <w:r>
              <w:rPr>
                <w:rFonts w:hint="eastAsia" w:ascii="宋体" w:hAnsi="宋体" w:cs="宋体"/>
                <w:b/>
                <w:bCs/>
                <w:color w:val="auto"/>
                <w:kern w:val="0"/>
                <w:szCs w:val="21"/>
                <w:highlight w:val="none"/>
              </w:rPr>
              <w:t>请于</w:t>
            </w:r>
            <w:r>
              <w:rPr>
                <w:rFonts w:hint="eastAsia" w:ascii="宋体" w:hAnsi="宋体" w:cs="宋体"/>
                <w:b/>
                <w:bCs/>
                <w:color w:val="auto"/>
                <w:szCs w:val="21"/>
                <w:highlight w:val="none"/>
              </w:rPr>
              <w:t>202</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年</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22</w:t>
            </w:r>
            <w:r>
              <w:rPr>
                <w:rFonts w:hint="eastAsia" w:ascii="宋体" w:hAnsi="宋体" w:cs="宋体"/>
                <w:b/>
                <w:bCs/>
                <w:color w:val="auto"/>
                <w:szCs w:val="21"/>
                <w:highlight w:val="none"/>
              </w:rPr>
              <w:t>日1</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rPr>
              <w:t>时</w:t>
            </w:r>
            <w:r>
              <w:rPr>
                <w:rFonts w:hint="eastAsia" w:ascii="宋体" w:hAnsi="宋体" w:cs="宋体"/>
                <w:b/>
                <w:bCs/>
                <w:color w:val="auto"/>
                <w:kern w:val="0"/>
                <w:szCs w:val="21"/>
                <w:highlight w:val="none"/>
              </w:rPr>
              <w:t>前</w:t>
            </w:r>
            <w:r>
              <w:rPr>
                <w:rFonts w:hint="eastAsia" w:ascii="宋体" w:hAnsi="宋体" w:cs="宋体"/>
                <w:color w:val="auto"/>
                <w:kern w:val="0"/>
                <w:szCs w:val="21"/>
                <w:highlight w:val="none"/>
              </w:rPr>
              <w:t>将疑问内容以电子邮件形式发送至</w:t>
            </w:r>
            <w:r>
              <w:rPr>
                <w:rFonts w:hint="eastAsia" w:ascii="宋体" w:hAnsi="宋体" w:cs="宋体"/>
                <w:color w:val="auto"/>
                <w:kern w:val="0"/>
                <w:szCs w:val="21"/>
                <w:highlight w:val="none"/>
                <w:lang w:eastAsia="zh-CN"/>
              </w:rPr>
              <w:t>czsctgczx@163.com（滁州市城投工程咨询管理有限公司邮箱）</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招标人澄清的时间及方式</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b/>
                <w:bCs/>
                <w:color w:val="auto"/>
                <w:szCs w:val="21"/>
                <w:highlight w:val="none"/>
              </w:rPr>
              <w:fldChar w:fldCharType="begin"/>
            </w:r>
            <w:r>
              <w:rPr>
                <w:rFonts w:hint="eastAsia" w:ascii="宋体" w:hAnsi="宋体" w:cs="宋体"/>
                <w:b/>
                <w:bCs/>
                <w:color w:val="auto"/>
                <w:szCs w:val="21"/>
                <w:highlight w:val="none"/>
              </w:rPr>
              <w:instrText xml:space="preserve"> HYPERLINK "mailto:日11时前将疑问内容以电子邮件形式发送至66267656@qq.com（安徽佳宝信项目管理有限公司邮箱），招标人将在2020年6月" </w:instrText>
            </w:r>
            <w:r>
              <w:rPr>
                <w:rFonts w:hint="eastAsia" w:ascii="宋体" w:hAnsi="宋体" w:cs="宋体"/>
                <w:b/>
                <w:bCs/>
                <w:color w:val="auto"/>
                <w:szCs w:val="21"/>
                <w:highlight w:val="none"/>
              </w:rPr>
              <w:fldChar w:fldCharType="separate"/>
            </w:r>
            <w:r>
              <w:rPr>
                <w:rFonts w:hint="eastAsia" w:ascii="宋体" w:hAnsi="宋体" w:cs="宋体"/>
                <w:b/>
                <w:bCs/>
                <w:color w:val="auto"/>
                <w:szCs w:val="21"/>
                <w:highlight w:val="none"/>
              </w:rPr>
              <w:t>招标人将在202</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年</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rPr>
              <w:fldChar w:fldCharType="end"/>
            </w:r>
            <w:r>
              <w:rPr>
                <w:rFonts w:hint="eastAsia" w:ascii="宋体" w:hAnsi="宋体" w:cs="宋体"/>
                <w:b/>
                <w:bCs/>
                <w:color w:val="auto"/>
                <w:szCs w:val="21"/>
                <w:highlight w:val="none"/>
                <w:lang w:val="en-US" w:eastAsia="zh-CN"/>
              </w:rPr>
              <w:t>22</w:t>
            </w:r>
            <w:r>
              <w:rPr>
                <w:rFonts w:hint="eastAsia" w:ascii="宋体" w:hAnsi="宋体" w:cs="宋体"/>
                <w:b/>
                <w:bCs/>
                <w:color w:val="auto"/>
                <w:szCs w:val="21"/>
                <w:highlight w:val="none"/>
              </w:rPr>
              <w:t>日17时后</w:t>
            </w:r>
            <w:r>
              <w:rPr>
                <w:rFonts w:hint="eastAsia" w:ascii="宋体" w:hAnsi="宋体" w:cs="宋体"/>
                <w:color w:val="auto"/>
                <w:szCs w:val="21"/>
                <w:highlight w:val="none"/>
                <w:lang w:val="en-US" w:eastAsia="zh-CN"/>
              </w:rPr>
              <w:t>在“</w:t>
            </w:r>
            <w:r>
              <w:rPr>
                <w:rFonts w:hint="eastAsia" w:ascii="宋体" w:hAnsi="宋体" w:eastAsia="宋体" w:cs="宋体"/>
                <w:color w:val="auto"/>
                <w:kern w:val="2"/>
                <w:sz w:val="21"/>
                <w:szCs w:val="21"/>
                <w:highlight w:val="none"/>
                <w:lang w:val="en-US" w:eastAsia="zh-CN" w:bidi="ar"/>
              </w:rPr>
              <w:t>滁州市兴滁矿业投资集团有限公司</w:t>
            </w:r>
            <w:r>
              <w:rPr>
                <w:rFonts w:hint="eastAsia" w:ascii="宋体" w:hAnsi="宋体" w:cs="宋体"/>
                <w:color w:val="auto"/>
                <w:szCs w:val="21"/>
                <w:highlight w:val="none"/>
              </w:rPr>
              <w:t>”</w:t>
            </w:r>
            <w:r>
              <w:rPr>
                <w:rFonts w:hint="eastAsia" w:ascii="宋体" w:hAnsi="宋体" w:eastAsia="宋体" w:cs="宋体"/>
                <w:color w:val="auto"/>
                <w:kern w:val="2"/>
                <w:sz w:val="21"/>
                <w:szCs w:val="21"/>
                <w:highlight w:val="none"/>
                <w:lang w:val="en-US" w:eastAsia="zh-CN" w:bidi="ar"/>
              </w:rPr>
              <w:t>（http://www.xckytz.com/）</w:t>
            </w:r>
            <w:r>
              <w:rPr>
                <w:rFonts w:hint="eastAsia" w:ascii="宋体" w:hAnsi="宋体" w:cs="宋体"/>
                <w:color w:val="auto"/>
                <w:szCs w:val="21"/>
                <w:highlight w:val="none"/>
              </w:rPr>
              <w:t>发布 ，请各位投标人注意查看有关澄清内容，如不及时查看造成后果由投标人自负。</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分包</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19"/>
              <w:keepNext w:val="0"/>
              <w:keepLines w:val="0"/>
              <w:pageBreakBefore w:val="0"/>
              <w:kinsoku/>
              <w:wordWrap/>
              <w:overflowPunct/>
              <w:autoSpaceDN/>
              <w:bidi w:val="0"/>
              <w:spacing w:line="440" w:lineRule="exact"/>
              <w:jc w:val="left"/>
              <w:textAlignment w:val="auto"/>
              <w:rPr>
                <w:rFonts w:hint="eastAsia" w:hAnsi="宋体" w:cs="宋体"/>
                <w:color w:val="auto"/>
                <w:sz w:val="21"/>
                <w:szCs w:val="21"/>
                <w:highlight w:val="none"/>
              </w:rPr>
            </w:pPr>
            <w:r>
              <w:rPr>
                <w:rFonts w:hint="eastAsia" w:hAnsi="宋体" w:cs="宋体"/>
                <w:color w:val="auto"/>
                <w:sz w:val="21"/>
                <w:szCs w:val="21"/>
                <w:highlight w:val="none"/>
                <w:lang w:eastAsia="zh-CN"/>
              </w:rPr>
              <w:t>☑</w:t>
            </w:r>
            <w:r>
              <w:rPr>
                <w:rFonts w:hint="eastAsia" w:hAnsi="宋体" w:cs="宋体"/>
                <w:color w:val="auto"/>
                <w:sz w:val="21"/>
                <w:szCs w:val="21"/>
                <w:highlight w:val="none"/>
              </w:rPr>
              <w:t>不允许</w:t>
            </w:r>
          </w:p>
          <w:p>
            <w:pPr>
              <w:keepNext w:val="0"/>
              <w:keepLines w:val="0"/>
              <w:pageBreakBefore w:val="0"/>
              <w:kinsoku/>
              <w:wordWrap/>
              <w:overflowPunct/>
              <w:autoSpaceDN/>
              <w:bidi w:val="0"/>
              <w:spacing w:line="440" w:lineRule="exact"/>
              <w:jc w:val="left"/>
              <w:textAlignment w:val="auto"/>
              <w:rPr>
                <w:rFonts w:hint="eastAsia"/>
                <w:color w:val="auto"/>
                <w:szCs w:val="21"/>
                <w:highlight w:val="none"/>
              </w:rPr>
            </w:pPr>
            <w:r>
              <w:rPr>
                <w:rFonts w:hint="eastAsia" w:hAnsi="宋体" w:cs="宋体"/>
                <w:color w:val="auto"/>
                <w:sz w:val="21"/>
                <w:szCs w:val="21"/>
                <w:highlight w:val="none"/>
                <w:lang w:eastAsia="zh-CN"/>
              </w:rPr>
              <w:t>□</w:t>
            </w:r>
            <w:r>
              <w:rPr>
                <w:rFonts w:hint="eastAsia" w:ascii="宋体" w:hAnsi="宋体" w:cs="宋体"/>
                <w:color w:val="auto"/>
                <w:szCs w:val="21"/>
                <w:highlight w:val="none"/>
              </w:rPr>
              <w:t>允许，分包内容要求：/</w:t>
            </w:r>
          </w:p>
          <w:p>
            <w:pPr>
              <w:keepNext w:val="0"/>
              <w:keepLines w:val="0"/>
              <w:pageBreakBefore w:val="0"/>
              <w:kinsoku/>
              <w:wordWrap/>
              <w:overflowPunct/>
              <w:autoSpaceDN/>
              <w:bidi w:val="0"/>
              <w:spacing w:line="440" w:lineRule="exact"/>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分包金额要求：/</w:t>
            </w:r>
          </w:p>
          <w:p>
            <w:pPr>
              <w:pStyle w:val="19"/>
              <w:keepNext w:val="0"/>
              <w:keepLines w:val="0"/>
              <w:pageBreakBefore w:val="0"/>
              <w:kinsoku/>
              <w:wordWrap/>
              <w:overflowPunct/>
              <w:autoSpaceDN/>
              <w:bidi w:val="0"/>
              <w:spacing w:line="440" w:lineRule="exact"/>
              <w:jc w:val="left"/>
              <w:textAlignment w:val="auto"/>
              <w:rPr>
                <w:rFonts w:hint="eastAsia"/>
                <w:color w:val="auto"/>
                <w:highlight w:val="none"/>
              </w:rPr>
            </w:pPr>
            <w:r>
              <w:rPr>
                <w:rFonts w:hint="eastAsia" w:hAnsi="宋体" w:cs="宋体"/>
                <w:color w:val="auto"/>
                <w:sz w:val="21"/>
                <w:szCs w:val="21"/>
                <w:highlight w:val="none"/>
              </w:rPr>
              <w:t>接受分包的第三人资质要求：/</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偏离</w:t>
            </w:r>
          </w:p>
        </w:tc>
        <w:tc>
          <w:tcPr>
            <w:tcW w:w="7251" w:type="dxa"/>
            <w:tcBorders>
              <w:top w:val="single" w:color="auto" w:sz="4" w:space="0"/>
              <w:left w:val="single" w:color="auto" w:sz="4" w:space="0"/>
              <w:bottom w:val="single" w:color="auto" w:sz="4" w:space="0"/>
              <w:right w:val="single" w:color="auto" w:sz="4" w:space="0"/>
            </w:tcBorders>
            <w:noWrap/>
            <w:vAlign w:val="center"/>
          </w:tcPr>
          <w:p>
            <w:pPr>
              <w:pStyle w:val="19"/>
              <w:keepNext w:val="0"/>
              <w:keepLines w:val="0"/>
              <w:pageBreakBefore w:val="0"/>
              <w:kinsoku/>
              <w:wordWrap/>
              <w:overflowPunct/>
              <w:topLinePunct/>
              <w:autoSpaceDN/>
              <w:bidi w:val="0"/>
              <w:spacing w:line="440" w:lineRule="exact"/>
              <w:textAlignment w:val="auto"/>
              <w:rPr>
                <w:rFonts w:hAnsi="宋体" w:cs="宋体"/>
                <w:color w:val="auto"/>
                <w:sz w:val="21"/>
                <w:szCs w:val="21"/>
                <w:highlight w:val="none"/>
              </w:rPr>
            </w:pPr>
            <w:r>
              <w:rPr>
                <w:rFonts w:hint="eastAsia"/>
                <w:color w:val="auto"/>
                <w:highlight w:val="none"/>
              </w:rPr>
              <w:t>☑</w:t>
            </w:r>
            <w:r>
              <w:rPr>
                <w:rFonts w:hint="eastAsia" w:hAnsi="宋体" w:cs="宋体"/>
                <w:color w:val="auto"/>
                <w:sz w:val="21"/>
                <w:szCs w:val="21"/>
                <w:highlight w:val="none"/>
              </w:rPr>
              <w:t>不允许；□允许</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构成招标文件的其他材料</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招标人提供的其他材料及招标澄清答疑文件</w:t>
            </w:r>
            <w:r>
              <w:rPr>
                <w:rFonts w:hint="eastAsia" w:ascii="宋体" w:hAnsi="宋体" w:cs="宋体"/>
                <w:color w:val="auto"/>
                <w:szCs w:val="21"/>
                <w:highlight w:val="none"/>
                <w:lang w:val="en-US" w:eastAsia="zh-CN"/>
              </w:rPr>
              <w:t>等</w:t>
            </w:r>
            <w:r>
              <w:rPr>
                <w:rFonts w:hint="eastAsia" w:ascii="宋体" w:hAnsi="宋体" w:cs="宋体"/>
                <w:color w:val="auto"/>
                <w:szCs w:val="21"/>
                <w:highlight w:val="none"/>
              </w:rPr>
              <w:t>。</w:t>
            </w:r>
          </w:p>
        </w:tc>
      </w:tr>
      <w:tr>
        <w:tblPrEx>
          <w:tblCellMar>
            <w:top w:w="0" w:type="dxa"/>
            <w:left w:w="108" w:type="dxa"/>
            <w:bottom w:w="0" w:type="dxa"/>
            <w:right w:w="108" w:type="dxa"/>
          </w:tblCellMar>
        </w:tblPrEx>
        <w:trPr>
          <w:trHeight w:val="404"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投标人要求澄清招标文件的截止时间及方式</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同本表第13条</w:t>
            </w:r>
          </w:p>
        </w:tc>
      </w:tr>
      <w:tr>
        <w:tblPrEx>
          <w:tblCellMar>
            <w:top w:w="0" w:type="dxa"/>
            <w:left w:w="108" w:type="dxa"/>
            <w:bottom w:w="0" w:type="dxa"/>
            <w:right w:w="108" w:type="dxa"/>
          </w:tblCellMar>
        </w:tblPrEx>
        <w:trPr>
          <w:trHeight w:val="404"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jc w:val="center"/>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rPr>
              <w:t>增值税税金</w:t>
            </w:r>
          </w:p>
        </w:tc>
        <w:tc>
          <w:tcPr>
            <w:tcW w:w="7251" w:type="dxa"/>
            <w:tcBorders>
              <w:top w:val="single" w:color="auto" w:sz="4" w:space="0"/>
              <w:left w:val="single" w:color="auto" w:sz="4" w:space="0"/>
              <w:bottom w:val="single" w:color="auto" w:sz="4" w:space="0"/>
              <w:right w:val="single" w:color="auto" w:sz="4" w:space="0"/>
            </w:tcBorders>
            <w:noWrap/>
            <w:vAlign w:val="top"/>
          </w:tcPr>
          <w:p>
            <w:pPr>
              <w:keepNext w:val="0"/>
              <w:keepLines w:val="0"/>
              <w:pageBreakBefore w:val="0"/>
              <w:kinsoku/>
              <w:wordWrap/>
              <w:overflowPunct/>
              <w:autoSpaceDN/>
              <w:bidi w:val="0"/>
              <w:adjustRightInd w:val="0"/>
              <w:snapToGrid w:val="0"/>
              <w:spacing w:line="440" w:lineRule="exact"/>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（1）计税方法：</w:t>
            </w:r>
          </w:p>
          <w:p>
            <w:pPr>
              <w:keepNext w:val="0"/>
              <w:keepLines w:val="0"/>
              <w:pageBreakBefore w:val="0"/>
              <w:kinsoku/>
              <w:wordWrap/>
              <w:overflowPunct/>
              <w:autoSpaceDN/>
              <w:bidi w:val="0"/>
              <w:adjustRightInd w:val="0"/>
              <w:snapToGrid w:val="0"/>
              <w:spacing w:line="44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lang w:eastAsia="zh-CN"/>
              </w:rPr>
              <w:t>☑</w:t>
            </w:r>
            <w:r>
              <w:rPr>
                <w:rFonts w:hint="eastAsia" w:ascii="宋体" w:hAnsi="宋体" w:eastAsia="宋体" w:cs="宋体"/>
                <w:bCs/>
                <w:snapToGrid w:val="0"/>
                <w:color w:val="auto"/>
                <w:kern w:val="0"/>
                <w:sz w:val="21"/>
                <w:szCs w:val="21"/>
                <w:highlight w:val="none"/>
              </w:rPr>
              <w:t>一般计税方法</w:t>
            </w:r>
          </w:p>
          <w:p>
            <w:pPr>
              <w:keepNext w:val="0"/>
              <w:keepLines w:val="0"/>
              <w:pageBreakBefore w:val="0"/>
              <w:kinsoku/>
              <w:wordWrap/>
              <w:overflowPunct/>
              <w:autoSpaceDN/>
              <w:bidi w:val="0"/>
              <w:adjustRightInd w:val="0"/>
              <w:snapToGrid w:val="0"/>
              <w:spacing w:line="44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 xml:space="preserve">□简易计算方法 </w:t>
            </w:r>
          </w:p>
          <w:p>
            <w:pPr>
              <w:keepNext w:val="0"/>
              <w:keepLines w:val="0"/>
              <w:pageBreakBefore w:val="0"/>
              <w:kinsoku/>
              <w:wordWrap/>
              <w:overflowPunct/>
              <w:autoSpaceDN/>
              <w:bidi w:val="0"/>
              <w:adjustRightInd w:val="0"/>
              <w:snapToGrid w:val="0"/>
              <w:spacing w:line="440" w:lineRule="exact"/>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（2）发票类型：</w:t>
            </w:r>
          </w:p>
          <w:p>
            <w:pPr>
              <w:keepNext w:val="0"/>
              <w:keepLines w:val="0"/>
              <w:pageBreakBefore w:val="0"/>
              <w:kinsoku/>
              <w:wordWrap/>
              <w:overflowPunct/>
              <w:autoSpaceDN/>
              <w:bidi w:val="0"/>
              <w:adjustRightInd w:val="0"/>
              <w:snapToGrid w:val="0"/>
              <w:spacing w:line="44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lang w:eastAsia="zh-CN"/>
              </w:rPr>
              <w:t>☑</w:t>
            </w:r>
            <w:r>
              <w:rPr>
                <w:rFonts w:hint="eastAsia" w:ascii="宋体" w:hAnsi="宋体" w:eastAsia="宋体" w:cs="宋体"/>
                <w:bCs/>
                <w:snapToGrid w:val="0"/>
                <w:color w:val="auto"/>
                <w:kern w:val="0"/>
                <w:sz w:val="21"/>
                <w:szCs w:val="21"/>
                <w:highlight w:val="none"/>
              </w:rPr>
              <w:t>增值税专用发票</w:t>
            </w:r>
          </w:p>
          <w:p>
            <w:pPr>
              <w:keepNext w:val="0"/>
              <w:keepLines w:val="0"/>
              <w:pageBreakBefore w:val="0"/>
              <w:kinsoku/>
              <w:wordWrap/>
              <w:overflowPunct/>
              <w:autoSpaceDN/>
              <w:bidi w:val="0"/>
              <w:adjustRightInd w:val="0"/>
              <w:snapToGrid w:val="0"/>
              <w:spacing w:line="44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□增值税普通发票</w:t>
            </w:r>
          </w:p>
          <w:p>
            <w:pPr>
              <w:keepNext w:val="0"/>
              <w:keepLines w:val="0"/>
              <w:pageBreakBefore w:val="0"/>
              <w:numPr>
                <w:ilvl w:val="0"/>
                <w:numId w:val="2"/>
              </w:numPr>
              <w:kinsoku/>
              <w:wordWrap/>
              <w:overflowPunct/>
              <w:autoSpaceDN/>
              <w:bidi w:val="0"/>
              <w:adjustRightInd w:val="0"/>
              <w:snapToGrid w:val="0"/>
              <w:spacing w:line="440" w:lineRule="exact"/>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增值税税率按照国家有关规定执行。</w:t>
            </w:r>
          </w:p>
          <w:p>
            <w:pPr>
              <w:pStyle w:val="19"/>
              <w:keepNext w:val="0"/>
              <w:keepLines w:val="0"/>
              <w:pageBreakBefore w:val="0"/>
              <w:kinsoku/>
              <w:wordWrap/>
              <w:overflowPunct/>
              <w:topLinePunct/>
              <w:autoSpaceDN/>
              <w:bidi w:val="0"/>
              <w:adjustRightInd w:val="0"/>
              <w:snapToGrid w:val="0"/>
              <w:spacing w:line="440" w:lineRule="exact"/>
              <w:ind w:firstLine="525" w:firstLineChars="250"/>
              <w:textAlignment w:val="auto"/>
              <w:rPr>
                <w:rFonts w:hint="eastAsia" w:ascii="宋体" w:hAnsi="宋体" w:cs="宋体"/>
                <w:color w:val="auto"/>
                <w:szCs w:val="21"/>
                <w:highlight w:val="none"/>
              </w:rPr>
            </w:pPr>
            <w:r>
              <w:rPr>
                <w:rFonts w:hint="eastAsia" w:ascii="宋体" w:hAnsi="宋体" w:eastAsia="宋体" w:cs="宋体"/>
                <w:bCs/>
                <w:snapToGrid w:val="0"/>
                <w:color w:val="auto"/>
                <w:kern w:val="0"/>
                <w:sz w:val="21"/>
                <w:szCs w:val="21"/>
                <w:highlight w:val="none"/>
              </w:rPr>
              <w:t>其它：</w:t>
            </w:r>
            <w:r>
              <w:rPr>
                <w:rFonts w:hint="eastAsia" w:ascii="宋体" w:hAnsi="宋体" w:eastAsia="宋体" w:cs="宋体"/>
                <w:bCs/>
                <w:snapToGrid w:val="0"/>
                <w:color w:val="auto"/>
                <w:kern w:val="0"/>
                <w:sz w:val="21"/>
                <w:szCs w:val="21"/>
                <w:highlight w:val="none"/>
                <w:u w:val="single"/>
                <w:lang w:val="en-US" w:eastAsia="zh-CN"/>
              </w:rPr>
              <w:t>/</w:t>
            </w:r>
            <w:r>
              <w:rPr>
                <w:rFonts w:hint="eastAsia" w:ascii="宋体" w:hAnsi="宋体" w:eastAsia="宋体" w:cs="宋体"/>
                <w:bCs/>
                <w:snapToGrid w:val="0"/>
                <w:color w:val="auto"/>
                <w:kern w:val="0"/>
                <w:sz w:val="21"/>
                <w:szCs w:val="21"/>
                <w:highlight w:val="none"/>
              </w:rPr>
              <w:t xml:space="preserve"> 。</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宋体" w:hAnsi="宋体" w:cs="宋体"/>
                <w:color w:val="auto"/>
                <w:szCs w:val="21"/>
                <w:highlight w:val="none"/>
              </w:rPr>
            </w:pPr>
            <w:r>
              <w:rPr>
                <w:rFonts w:hint="eastAsia" w:ascii="宋体" w:hAnsi="宋体" w:cs="宋体"/>
                <w:b/>
                <w:bCs/>
                <w:color w:val="auto"/>
                <w:sz w:val="21"/>
                <w:szCs w:val="21"/>
                <w:highlight w:val="none"/>
              </w:rPr>
              <w:t>最高投标限价</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公布的最高投标限价：</w:t>
            </w:r>
            <w:r>
              <w:rPr>
                <w:rFonts w:hint="eastAsia" w:ascii="宋体" w:hAnsi="宋体" w:cs="宋体"/>
                <w:color w:val="auto"/>
                <w:sz w:val="21"/>
                <w:szCs w:val="21"/>
                <w:highlight w:val="none"/>
                <w:u w:val="single"/>
                <w:lang w:val="en-US" w:eastAsia="zh-CN"/>
              </w:rPr>
              <w:t>467715.56</w:t>
            </w:r>
            <w:r>
              <w:rPr>
                <w:rFonts w:hint="eastAsia" w:ascii="宋体" w:hAnsi="宋体" w:cs="宋体"/>
                <w:color w:val="auto"/>
                <w:sz w:val="21"/>
                <w:szCs w:val="21"/>
                <w:highlight w:val="none"/>
              </w:rPr>
              <w:t>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其中暂列金额40000元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。应当</w:t>
            </w:r>
            <w:r>
              <w:rPr>
                <w:rFonts w:hint="eastAsia" w:ascii="宋体" w:hAnsi="宋体" w:cs="宋体"/>
                <w:b/>
                <w:bCs/>
                <w:color w:val="auto"/>
                <w:sz w:val="21"/>
                <w:szCs w:val="21"/>
                <w:highlight w:val="none"/>
                <w:u w:val="single"/>
              </w:rPr>
              <w:t>包括总价、各单位工程的分部分项工程费、措施项目费、其他项目费、不可竞争性费用和税金。</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发布时间：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2024</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lang w:val="en-US" w:eastAsia="zh-CN"/>
              </w:rPr>
              <w:t>4</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19  </w:t>
            </w:r>
            <w:r>
              <w:rPr>
                <w:rFonts w:hint="eastAsia" w:ascii="宋体" w:hAnsi="宋体" w:cs="宋体"/>
                <w:color w:val="auto"/>
                <w:sz w:val="21"/>
                <w:szCs w:val="21"/>
                <w:highlight w:val="none"/>
              </w:rPr>
              <w:t>日</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17</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时前。</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eastAsia="宋体" w:cs="宋体"/>
                <w:b/>
                <w:color w:val="auto"/>
                <w:szCs w:val="21"/>
                <w:highlight w:val="none"/>
                <w:u w:val="single"/>
                <w:lang w:eastAsia="zh-CN"/>
              </w:rPr>
            </w:pPr>
            <w:r>
              <w:rPr>
                <w:rFonts w:hint="eastAsia" w:ascii="宋体" w:hAnsi="宋体" w:cs="宋体"/>
                <w:b/>
                <w:bCs/>
                <w:color w:val="auto"/>
                <w:sz w:val="21"/>
                <w:szCs w:val="21"/>
                <w:highlight w:val="none"/>
              </w:rPr>
              <w:t>发布媒介：</w:t>
            </w:r>
            <w:r>
              <w:rPr>
                <w:rFonts w:hint="eastAsia" w:ascii="宋体" w:hAnsi="宋体" w:cs="宋体"/>
                <w:b/>
                <w:bCs/>
                <w:color w:val="auto"/>
                <w:sz w:val="21"/>
                <w:szCs w:val="21"/>
                <w:highlight w:val="none"/>
                <w:lang w:eastAsia="zh-CN"/>
              </w:rPr>
              <w:t>“滁州市兴滁矿业投资集团有限公司”（http://www.xckytz.com/）</w:t>
            </w:r>
            <w:r>
              <w:rPr>
                <w:rFonts w:hint="eastAsia" w:ascii="宋体" w:hAnsi="宋体" w:cs="宋体"/>
                <w:b/>
                <w:bCs/>
                <w:color w:val="auto"/>
                <w:sz w:val="21"/>
                <w:szCs w:val="21"/>
                <w:highlight w:val="none"/>
              </w:rPr>
              <w:t xml:space="preserve">  </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投标有效期</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eastAsia="宋体" w:cs="宋体"/>
                <w:color w:val="auto"/>
                <w:kern w:val="0"/>
                <w:sz w:val="21"/>
                <w:szCs w:val="21"/>
                <w:highlight w:val="none"/>
              </w:rPr>
              <w:t>自投标人递交投标文件截止之日起计算</w:t>
            </w:r>
            <w:r>
              <w:rPr>
                <w:rFonts w:hint="eastAsia" w:ascii="宋体" w:hAnsi="宋体" w:eastAsia="宋体" w:cs="宋体"/>
                <w:color w:val="auto"/>
                <w:kern w:val="0"/>
                <w:sz w:val="21"/>
                <w:szCs w:val="21"/>
                <w:highlight w:val="none"/>
                <w:lang w:val="en-US" w:eastAsia="zh-CN"/>
              </w:rPr>
              <w:t>90</w:t>
            </w:r>
            <w:r>
              <w:rPr>
                <w:rFonts w:hint="eastAsia" w:ascii="宋体" w:hAnsi="宋体" w:eastAsia="宋体" w:cs="宋体"/>
                <w:color w:val="auto"/>
                <w:kern w:val="0"/>
                <w:sz w:val="21"/>
                <w:szCs w:val="21"/>
                <w:highlight w:val="none"/>
              </w:rPr>
              <w:t>日历天。在此期限内，凡符合本招标文件要求的投标文件均保持有效。</w:t>
            </w:r>
          </w:p>
        </w:tc>
      </w:tr>
      <w:tr>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投标保证金</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详见招标公告</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签字或盖章要求</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autoSpaceDN/>
              <w:bidi w:val="0"/>
              <w:spacing w:line="440" w:lineRule="exact"/>
              <w:jc w:val="left"/>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电子投标文件须按格式文件要求签字或盖章，招标文件格式中要求“签章”部位，指签字或盖章后扫描上传。</w:t>
            </w:r>
          </w:p>
          <w:p>
            <w:pPr>
              <w:keepNext w:val="0"/>
              <w:keepLines w:val="0"/>
              <w:pageBreakBefore w:val="0"/>
              <w:kinsoku/>
              <w:wordWrap/>
              <w:overflowPunct/>
              <w:autoSpaceDN/>
              <w:bidi w:val="0"/>
              <w:spacing w:line="440" w:lineRule="exact"/>
              <w:textAlignment w:val="auto"/>
              <w:rPr>
                <w:rFonts w:ascii="宋体" w:hAnsi="宋体" w:cs="宋体"/>
                <w:color w:val="auto"/>
                <w:szCs w:val="21"/>
                <w:highlight w:val="none"/>
              </w:rPr>
            </w:pPr>
            <w:r>
              <w:rPr>
                <w:rFonts w:hint="eastAsia" w:ascii="宋体" w:hAnsi="宋体" w:cs="宋体"/>
                <w:b/>
                <w:color w:val="auto"/>
                <w:kern w:val="0"/>
                <w:szCs w:val="21"/>
                <w:highlight w:val="none"/>
              </w:rPr>
              <w:t>否则经评委会一致认定按照无效投标处理。</w:t>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投标文件份数</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autoSpaceDN/>
              <w:bidi w:val="0"/>
              <w:spacing w:line="440" w:lineRule="exact"/>
              <w:jc w:val="left"/>
              <w:textAlignment w:val="auto"/>
              <w:rPr>
                <w:rFonts w:hint="eastAsia" w:ascii="宋体" w:hAnsi="宋体" w:cs="宋体"/>
                <w:b/>
                <w:bCs/>
                <w:color w:val="auto"/>
                <w:kern w:val="0"/>
                <w:szCs w:val="21"/>
                <w:highlight w:val="none"/>
              </w:rPr>
            </w:pPr>
            <w:r>
              <w:rPr>
                <w:rFonts w:hint="eastAsia" w:ascii="宋体" w:hAnsi="宋体" w:cs="宋体"/>
                <w:b/>
                <w:color w:val="auto"/>
                <w:kern w:val="0"/>
                <w:szCs w:val="21"/>
                <w:highlight w:val="none"/>
              </w:rPr>
              <w:t>以电子邮件递交的电子投标文件：一份。以投标人在投标截止时间前电子邮件递交的电子投标文件为准，逾期提交的，投标文件将被拒绝。</w:t>
            </w:r>
          </w:p>
          <w:p>
            <w:pPr>
              <w:pStyle w:val="14"/>
              <w:keepNext w:val="0"/>
              <w:keepLines w:val="0"/>
              <w:pageBreakBefore w:val="0"/>
              <w:kinsoku/>
              <w:wordWrap/>
              <w:overflowPunct/>
              <w:autoSpaceDN/>
              <w:bidi w:val="0"/>
              <w:spacing w:line="440" w:lineRule="exact"/>
              <w:ind w:left="0" w:leftChars="0" w:firstLine="0" w:firstLineChars="0"/>
              <w:textAlignment w:val="auto"/>
              <w:rPr>
                <w:color w:val="auto"/>
                <w:highlight w:val="none"/>
              </w:rPr>
            </w:pPr>
            <w:r>
              <w:rPr>
                <w:rFonts w:hint="eastAsia" w:ascii="宋体" w:hAnsi="宋体" w:cs="宋体"/>
                <w:b/>
                <w:bCs/>
                <w:color w:val="auto"/>
                <w:kern w:val="0"/>
                <w:szCs w:val="21"/>
                <w:highlight w:val="none"/>
              </w:rPr>
              <w:t>（投标单位中标后须递交与网上电子投标文件完全一致的纸质版投标文件，并按要求加盖公章；份数：正本1份，副本</w:t>
            </w:r>
            <w:r>
              <w:rPr>
                <w:rFonts w:hint="eastAsia" w:ascii="宋体" w:hAnsi="宋体" w:cs="宋体"/>
                <w:b/>
                <w:bCs/>
                <w:color w:val="auto"/>
                <w:kern w:val="0"/>
                <w:szCs w:val="21"/>
                <w:highlight w:val="none"/>
                <w:lang w:val="en-US" w:eastAsia="zh-CN"/>
              </w:rPr>
              <w:t>4</w:t>
            </w:r>
            <w:r>
              <w:rPr>
                <w:rFonts w:hint="eastAsia" w:ascii="宋体" w:hAnsi="宋体" w:cs="宋体"/>
                <w:b/>
                <w:bCs/>
                <w:color w:val="auto"/>
                <w:kern w:val="0"/>
                <w:szCs w:val="21"/>
                <w:highlight w:val="none"/>
              </w:rPr>
              <w:t>份；中标单位领取中标通知书时，一并递交给代理机构）</w:t>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cs="宋体"/>
                <w:color w:val="auto"/>
                <w:kern w:val="2"/>
                <w:highlight w:val="none"/>
                <w:lang w:val="en-US" w:eastAsia="zh-CN"/>
              </w:rPr>
              <w:t>25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eastAsia="宋体" w:cs="宋体"/>
                <w:color w:val="auto"/>
                <w:szCs w:val="21"/>
                <w:highlight w:val="none"/>
                <w:lang w:val="en-US" w:eastAsia="zh-CN"/>
              </w:rPr>
            </w:pPr>
            <w:r>
              <w:rPr>
                <w:rFonts w:hint="eastAsia" w:ascii="宋体"/>
                <w:color w:val="auto"/>
                <w:sz w:val="21"/>
                <w:szCs w:val="21"/>
                <w:highlight w:val="none"/>
              </w:rPr>
              <w:t>投标文件</w:t>
            </w:r>
            <w:r>
              <w:rPr>
                <w:rFonts w:hint="eastAsia" w:ascii="宋体"/>
                <w:color w:val="auto"/>
                <w:sz w:val="21"/>
                <w:szCs w:val="21"/>
                <w:highlight w:val="none"/>
                <w:lang w:val="en-US" w:eastAsia="zh-CN"/>
              </w:rPr>
              <w:t>的提交</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left"/>
              <w:textAlignment w:val="auto"/>
              <w:rPr>
                <w:rStyle w:val="57"/>
                <w:rFonts w:hint="eastAsia" w:ascii="宋体" w:hAnsi="宋体" w:eastAsia="宋体" w:cs="宋体"/>
                <w:b/>
                <w:bCs/>
                <w:color w:val="auto"/>
                <w:szCs w:val="21"/>
                <w:highlight w:val="none"/>
              </w:rPr>
            </w:pPr>
            <w:r>
              <w:rPr>
                <w:rFonts w:hint="eastAsia" w:ascii="宋体" w:hAnsi="宋体" w:cs="宋体"/>
                <w:b/>
                <w:bCs/>
                <w:color w:val="auto"/>
                <w:szCs w:val="21"/>
                <w:highlight w:val="none"/>
              </w:rPr>
              <w:t>1、投标人须在投标文件截止时间前（202</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年</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24</w:t>
            </w:r>
            <w:r>
              <w:rPr>
                <w:rFonts w:hint="eastAsia" w:ascii="宋体" w:hAnsi="宋体" w:cs="宋体"/>
                <w:b/>
                <w:bCs/>
                <w:color w:val="auto"/>
                <w:szCs w:val="21"/>
                <w:highlight w:val="none"/>
              </w:rPr>
              <w:fldChar w:fldCharType="begin"/>
            </w:r>
            <w:r>
              <w:rPr>
                <w:rFonts w:hint="eastAsia" w:ascii="宋体" w:hAnsi="宋体" w:cs="宋体"/>
                <w:b/>
                <w:bCs/>
                <w:color w:val="auto"/>
                <w:szCs w:val="21"/>
                <w:highlight w:val="none"/>
              </w:rPr>
              <w:instrText xml:space="preserve"> HYPERLINK "mailto:日14时00分前）将投标文件以电子邮件的方式一次性发送至czsctgczx@163.com（滁州市城投工程咨询管理有限公司邮箱），投标文件格式限定为加密PDF格式，将文件命名为\“投标单位名称+项目名称\”，未在规定时间内发送加密PDF格式投标文件，投标将被拒绝，投标文件送达时间以滁州市城投工程咨询管理有限公司邮箱显示的邮件送达时间为准，若投标人重复发送电子投标文件的，将以2022年" </w:instrText>
            </w:r>
            <w:r>
              <w:rPr>
                <w:rFonts w:hint="eastAsia" w:ascii="宋体" w:hAnsi="宋体" w:cs="宋体"/>
                <w:b/>
                <w:bCs/>
                <w:color w:val="auto"/>
                <w:szCs w:val="21"/>
                <w:highlight w:val="none"/>
              </w:rPr>
              <w:fldChar w:fldCharType="separate"/>
            </w:r>
            <w:r>
              <w:rPr>
                <w:rStyle w:val="57"/>
                <w:rFonts w:hint="eastAsia" w:ascii="宋体" w:hAnsi="宋体" w:cs="宋体"/>
                <w:b/>
                <w:bCs/>
                <w:color w:val="auto"/>
                <w:szCs w:val="21"/>
                <w:highlight w:val="none"/>
              </w:rPr>
              <w:t>日</w:t>
            </w:r>
            <w:r>
              <w:rPr>
                <w:rStyle w:val="57"/>
                <w:rFonts w:hint="eastAsia" w:ascii="宋体" w:hAnsi="宋体" w:cs="宋体"/>
                <w:b/>
                <w:bCs/>
                <w:color w:val="auto"/>
                <w:szCs w:val="21"/>
                <w:highlight w:val="none"/>
                <w:lang w:val="en-US" w:eastAsia="zh-CN"/>
              </w:rPr>
              <w:t>10</w:t>
            </w:r>
            <w:r>
              <w:rPr>
                <w:rStyle w:val="57"/>
                <w:rFonts w:hint="eastAsia" w:ascii="宋体" w:hAnsi="宋体" w:cs="宋体"/>
                <w:b/>
                <w:bCs/>
                <w:color w:val="auto"/>
                <w:szCs w:val="21"/>
                <w:highlight w:val="none"/>
              </w:rPr>
              <w:t>时</w:t>
            </w:r>
            <w:r>
              <w:rPr>
                <w:rStyle w:val="57"/>
                <w:rFonts w:hint="eastAsia" w:ascii="宋体" w:hAnsi="宋体" w:cs="宋体"/>
                <w:b/>
                <w:bCs/>
                <w:color w:val="auto"/>
                <w:szCs w:val="21"/>
                <w:highlight w:val="none"/>
                <w:lang w:val="en-US" w:eastAsia="zh-CN"/>
              </w:rPr>
              <w:t>0</w:t>
            </w:r>
            <w:r>
              <w:rPr>
                <w:rStyle w:val="57"/>
                <w:rFonts w:hint="eastAsia" w:ascii="宋体" w:hAnsi="宋体" w:cs="宋体"/>
                <w:b/>
                <w:bCs/>
                <w:color w:val="auto"/>
                <w:szCs w:val="21"/>
                <w:highlight w:val="none"/>
              </w:rPr>
              <w:t>0分前）将投标文件以电子邮件的方式一次性发送至czsctgczx@163.com（滁州市城投工程咨询管理有限公司邮箱），投标文件格式限定为加密PDF格式，将文件命名为“投标单位名称+项目名称</w:t>
            </w:r>
            <w:r>
              <w:rPr>
                <w:rStyle w:val="57"/>
                <w:rFonts w:hint="eastAsia" w:ascii="宋体" w:hAnsi="宋体" w:cs="宋体"/>
                <w:b/>
                <w:bCs/>
                <w:color w:val="auto"/>
                <w:szCs w:val="21"/>
                <w:highlight w:val="none"/>
                <w:lang w:val="en-US" w:eastAsia="zh-CN"/>
              </w:rPr>
              <w:t>+联系人及联系电话</w:t>
            </w:r>
            <w:r>
              <w:rPr>
                <w:rStyle w:val="57"/>
                <w:rFonts w:hint="eastAsia" w:ascii="宋体" w:hAnsi="宋体" w:cs="宋体"/>
                <w:b/>
                <w:bCs/>
                <w:color w:val="auto"/>
                <w:szCs w:val="21"/>
                <w:highlight w:val="none"/>
              </w:rPr>
              <w:t>”，未在规定时间内发送加密PDF格式投标文件，投标将被拒绝，投标文件送达时间以滁州市城投工程咨询管理有限公司邮箱显示的邮件送达时间为准，若投标人重复发送电子投标文件的，将以202</w:t>
            </w:r>
            <w:r>
              <w:rPr>
                <w:rStyle w:val="57"/>
                <w:rFonts w:hint="eastAsia" w:ascii="宋体" w:hAnsi="宋体" w:cs="宋体"/>
                <w:b/>
                <w:bCs/>
                <w:color w:val="auto"/>
                <w:szCs w:val="21"/>
                <w:highlight w:val="none"/>
                <w:lang w:val="en-US" w:eastAsia="zh-CN"/>
              </w:rPr>
              <w:t>4</w:t>
            </w:r>
            <w:r>
              <w:rPr>
                <w:rStyle w:val="57"/>
                <w:rFonts w:hint="eastAsia" w:ascii="宋体" w:hAnsi="宋体" w:cs="宋体"/>
                <w:b/>
                <w:bCs/>
                <w:color w:val="auto"/>
                <w:szCs w:val="21"/>
                <w:highlight w:val="none"/>
              </w:rPr>
              <w:t>年</w:t>
            </w:r>
            <w:r>
              <w:rPr>
                <w:rFonts w:hint="eastAsia" w:ascii="宋体" w:hAnsi="宋体" w:cs="宋体"/>
                <w:b/>
                <w:bCs/>
                <w:color w:val="auto"/>
                <w:szCs w:val="21"/>
                <w:highlight w:val="none"/>
              </w:rPr>
              <w:fldChar w:fldCharType="end"/>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24</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10</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0</w:t>
            </w:r>
            <w:r>
              <w:rPr>
                <w:rFonts w:hint="eastAsia" w:ascii="宋体" w:hAnsi="宋体" w:cs="宋体"/>
                <w:b/>
                <w:bCs/>
                <w:color w:val="auto"/>
                <w:szCs w:val="21"/>
                <w:highlight w:val="none"/>
              </w:rPr>
              <w:t>0分前最后收到的投标文件为准,投标文件无法打开的，由</w:t>
            </w:r>
            <w:r>
              <w:rPr>
                <w:rStyle w:val="57"/>
                <w:rFonts w:hint="eastAsia" w:ascii="宋体" w:hAnsi="宋体" w:eastAsia="宋体" w:cs="宋体"/>
                <w:b/>
                <w:bCs/>
                <w:color w:val="auto"/>
                <w:szCs w:val="21"/>
                <w:highlight w:val="none"/>
              </w:rPr>
              <w:t>投标人自行承担后果。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19" w:firstLineChars="9"/>
              <w:textAlignment w:val="auto"/>
              <w:rPr>
                <w:rFonts w:hint="eastAsia" w:ascii="宋体" w:hAnsi="宋体" w:eastAsia="宋体" w:cs="宋体"/>
                <w:color w:val="auto"/>
                <w:sz w:val="21"/>
                <w:szCs w:val="21"/>
                <w:highlight w:val="none"/>
                <w:lang w:val="en-US" w:eastAsia="zh-CN"/>
              </w:rPr>
            </w:pPr>
            <w:r>
              <w:rPr>
                <w:rStyle w:val="57"/>
                <w:rFonts w:hint="eastAsia" w:ascii="宋体" w:hAnsi="宋体" w:eastAsia="宋体" w:cs="宋体"/>
                <w:b/>
                <w:bCs/>
                <w:color w:val="auto"/>
                <w:szCs w:val="21"/>
                <w:highlight w:val="none"/>
              </w:rPr>
              <w:fldChar w:fldCharType="begin"/>
            </w:r>
            <w:r>
              <w:rPr>
                <w:rStyle w:val="57"/>
                <w:rFonts w:hint="eastAsia" w:ascii="宋体" w:hAnsi="宋体" w:eastAsia="宋体" w:cs="宋体"/>
                <w:b/>
                <w:bCs/>
                <w:color w:val="auto"/>
                <w:szCs w:val="21"/>
                <w:highlight w:val="none"/>
              </w:rPr>
              <w:instrText xml:space="preserve"> HYPERLINK "mailto:2、投标人在2022年  月  日14时00分至2022年  月  日14时30分内将投标文件的密码（投标单位名称+密码）发送至czsctgczx@163.com（滁州市城投工程咨询管理有限公司邮箱）。未在规定时间内发送密码的，投标将被拒绝。" </w:instrText>
            </w:r>
            <w:r>
              <w:rPr>
                <w:rStyle w:val="57"/>
                <w:rFonts w:hint="eastAsia" w:ascii="宋体" w:hAnsi="宋体" w:eastAsia="宋体" w:cs="宋体"/>
                <w:b/>
                <w:bCs/>
                <w:color w:val="auto"/>
                <w:szCs w:val="21"/>
                <w:highlight w:val="none"/>
              </w:rPr>
              <w:fldChar w:fldCharType="separate"/>
            </w:r>
            <w:r>
              <w:rPr>
                <w:rStyle w:val="57"/>
                <w:rFonts w:hint="eastAsia" w:ascii="宋体" w:hAnsi="宋体" w:eastAsia="宋体" w:cs="宋体"/>
                <w:b/>
                <w:bCs/>
                <w:color w:val="auto"/>
                <w:szCs w:val="21"/>
                <w:highlight w:val="none"/>
              </w:rPr>
              <w:t>2、投标人在202</w:t>
            </w:r>
            <w:r>
              <w:rPr>
                <w:rStyle w:val="57"/>
                <w:rFonts w:hint="eastAsia" w:ascii="宋体" w:hAnsi="宋体" w:cs="宋体"/>
                <w:b/>
                <w:bCs/>
                <w:color w:val="auto"/>
                <w:szCs w:val="21"/>
                <w:highlight w:val="none"/>
                <w:lang w:val="en-US" w:eastAsia="zh-CN"/>
              </w:rPr>
              <w:t>4</w:t>
            </w:r>
            <w:r>
              <w:rPr>
                <w:rStyle w:val="57"/>
                <w:rFonts w:hint="eastAsia" w:ascii="宋体" w:hAnsi="宋体" w:eastAsia="宋体" w:cs="宋体"/>
                <w:b/>
                <w:bCs/>
                <w:color w:val="auto"/>
                <w:szCs w:val="21"/>
                <w:highlight w:val="none"/>
              </w:rPr>
              <w:t>年</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24</w:t>
            </w:r>
            <w:r>
              <w:rPr>
                <w:rStyle w:val="57"/>
                <w:rFonts w:hint="eastAsia" w:ascii="宋体" w:hAnsi="宋体" w:eastAsia="宋体" w:cs="宋体"/>
                <w:b/>
                <w:bCs/>
                <w:color w:val="auto"/>
                <w:szCs w:val="21"/>
                <w:highlight w:val="none"/>
              </w:rPr>
              <w:t>日</w:t>
            </w:r>
            <w:r>
              <w:rPr>
                <w:rStyle w:val="57"/>
                <w:rFonts w:hint="eastAsia" w:ascii="宋体" w:hAnsi="宋体" w:cs="宋体"/>
                <w:b/>
                <w:bCs/>
                <w:color w:val="auto"/>
                <w:szCs w:val="21"/>
                <w:highlight w:val="none"/>
                <w:lang w:val="en-US" w:eastAsia="zh-CN"/>
              </w:rPr>
              <w:t>10</w:t>
            </w:r>
            <w:r>
              <w:rPr>
                <w:rStyle w:val="57"/>
                <w:rFonts w:hint="eastAsia" w:ascii="宋体" w:hAnsi="宋体" w:eastAsia="宋体" w:cs="宋体"/>
                <w:b/>
                <w:bCs/>
                <w:color w:val="auto"/>
                <w:szCs w:val="21"/>
                <w:highlight w:val="none"/>
              </w:rPr>
              <w:t>时</w:t>
            </w:r>
            <w:r>
              <w:rPr>
                <w:rStyle w:val="57"/>
                <w:rFonts w:hint="eastAsia" w:ascii="宋体" w:hAnsi="宋体" w:cs="宋体"/>
                <w:b/>
                <w:bCs/>
                <w:color w:val="auto"/>
                <w:szCs w:val="21"/>
                <w:highlight w:val="none"/>
                <w:lang w:val="en-US" w:eastAsia="zh-CN"/>
              </w:rPr>
              <w:t>0</w:t>
            </w:r>
            <w:r>
              <w:rPr>
                <w:rStyle w:val="57"/>
                <w:rFonts w:hint="eastAsia" w:ascii="宋体" w:hAnsi="宋体" w:eastAsia="宋体" w:cs="宋体"/>
                <w:b/>
                <w:bCs/>
                <w:color w:val="auto"/>
                <w:szCs w:val="21"/>
                <w:highlight w:val="none"/>
              </w:rPr>
              <w:t>0分至202</w:t>
            </w:r>
            <w:r>
              <w:rPr>
                <w:rStyle w:val="57"/>
                <w:rFonts w:hint="eastAsia" w:ascii="宋体" w:hAnsi="宋体" w:cs="宋体"/>
                <w:b/>
                <w:bCs/>
                <w:color w:val="auto"/>
                <w:szCs w:val="21"/>
                <w:highlight w:val="none"/>
                <w:lang w:val="en-US" w:eastAsia="zh-CN"/>
              </w:rPr>
              <w:t>4</w:t>
            </w:r>
            <w:r>
              <w:rPr>
                <w:rStyle w:val="57"/>
                <w:rFonts w:hint="eastAsia" w:ascii="宋体" w:hAnsi="宋体" w:eastAsia="宋体" w:cs="宋体"/>
                <w:b/>
                <w:bCs/>
                <w:color w:val="auto"/>
                <w:szCs w:val="21"/>
                <w:highlight w:val="none"/>
              </w:rPr>
              <w:t>年</w:t>
            </w:r>
            <w:r>
              <w:rPr>
                <w:rStyle w:val="57"/>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24</w:t>
            </w:r>
            <w:r>
              <w:rPr>
                <w:rStyle w:val="57"/>
                <w:rFonts w:hint="eastAsia" w:ascii="宋体" w:hAnsi="宋体" w:eastAsia="宋体" w:cs="宋体"/>
                <w:b/>
                <w:bCs/>
                <w:color w:val="auto"/>
                <w:szCs w:val="21"/>
                <w:highlight w:val="none"/>
              </w:rPr>
              <w:t>日</w:t>
            </w:r>
            <w:r>
              <w:rPr>
                <w:rStyle w:val="57"/>
                <w:rFonts w:hint="eastAsia" w:ascii="宋体" w:hAnsi="宋体" w:cs="宋体"/>
                <w:b/>
                <w:bCs/>
                <w:color w:val="auto"/>
                <w:szCs w:val="21"/>
                <w:highlight w:val="none"/>
                <w:lang w:val="en-US" w:eastAsia="zh-CN"/>
              </w:rPr>
              <w:t>10</w:t>
            </w:r>
            <w:r>
              <w:rPr>
                <w:rStyle w:val="57"/>
                <w:rFonts w:hint="eastAsia" w:ascii="宋体" w:hAnsi="宋体" w:eastAsia="宋体" w:cs="宋体"/>
                <w:b/>
                <w:bCs/>
                <w:color w:val="auto"/>
                <w:szCs w:val="21"/>
                <w:highlight w:val="none"/>
              </w:rPr>
              <w:t>时</w:t>
            </w:r>
            <w:r>
              <w:rPr>
                <w:rStyle w:val="57"/>
                <w:rFonts w:hint="eastAsia" w:ascii="宋体" w:hAnsi="宋体" w:cs="宋体"/>
                <w:b/>
                <w:bCs/>
                <w:color w:val="auto"/>
                <w:szCs w:val="21"/>
                <w:highlight w:val="none"/>
                <w:lang w:val="en-US" w:eastAsia="zh-CN"/>
              </w:rPr>
              <w:t>2</w:t>
            </w:r>
            <w:r>
              <w:rPr>
                <w:rStyle w:val="57"/>
                <w:rFonts w:hint="eastAsia" w:ascii="宋体" w:hAnsi="宋体" w:eastAsia="宋体" w:cs="宋体"/>
                <w:b/>
                <w:bCs/>
                <w:color w:val="auto"/>
                <w:szCs w:val="21"/>
                <w:highlight w:val="none"/>
                <w:lang w:val="en-US" w:eastAsia="zh-CN"/>
              </w:rPr>
              <w:t>0</w:t>
            </w:r>
            <w:r>
              <w:rPr>
                <w:rStyle w:val="57"/>
                <w:rFonts w:hint="eastAsia" w:ascii="宋体" w:hAnsi="宋体" w:eastAsia="宋体" w:cs="宋体"/>
                <w:b/>
                <w:bCs/>
                <w:color w:val="auto"/>
                <w:szCs w:val="21"/>
                <w:highlight w:val="none"/>
              </w:rPr>
              <w:t>分内将投标文件的密码（投标单位名称+密码）发送至czsctgczx@163.com（滁州市城投工程咨询管理有限公司邮箱）。未在规定时间内发送密码的，投标将被拒绝。</w:t>
            </w:r>
            <w:r>
              <w:rPr>
                <w:rStyle w:val="57"/>
                <w:rFonts w:hint="eastAsia" w:ascii="宋体" w:hAnsi="宋体" w:eastAsia="宋体" w:cs="宋体"/>
                <w:b/>
                <w:bCs/>
                <w:color w:val="auto"/>
                <w:szCs w:val="21"/>
                <w:highlight w:val="none"/>
              </w:rPr>
              <w:fldChar w:fldCharType="end"/>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eastAsia="宋体" w:cs="宋体"/>
                <w:color w:val="auto"/>
                <w:kern w:val="2"/>
                <w:highlight w:val="none"/>
                <w:lang w:val="en-US" w:eastAsia="zh-CN"/>
              </w:rPr>
            </w:pPr>
            <w:r>
              <w:rPr>
                <w:rFonts w:hint="eastAsia" w:ascii="宋体" w:hAnsi="宋体" w:cs="宋体"/>
                <w:color w:val="auto"/>
                <w:kern w:val="2"/>
                <w:highlight w:val="none"/>
                <w:lang w:val="en-US" w:eastAsia="zh-CN"/>
              </w:rPr>
              <w:t>26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是否允许递交备选投标方案</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left"/>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☑不允许；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left"/>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□允许：/</w:t>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eastAsia="宋体" w:cs="宋体"/>
                <w:color w:val="auto"/>
                <w:kern w:val="2"/>
                <w:highlight w:val="none"/>
                <w:lang w:val="en-US" w:eastAsia="zh-CN"/>
              </w:rPr>
              <w:t>2</w:t>
            </w:r>
            <w:r>
              <w:rPr>
                <w:rFonts w:hint="eastAsia" w:ascii="宋体" w:hAnsi="宋体" w:cs="宋体"/>
                <w:color w:val="auto"/>
                <w:kern w:val="2"/>
                <w:highlight w:val="none"/>
                <w:lang w:val="en-US" w:eastAsia="zh-CN"/>
              </w:rPr>
              <w:t>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是否退还投标文件</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u w:color="000000"/>
                <w:lang w:val="en-US" w:eastAsia="zh-CN" w:bidi="ar"/>
              </w:rPr>
              <w:t>否</w:t>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highlight w:val="none"/>
                <w:lang w:val="en-US" w:eastAsia="zh-CN"/>
              </w:rPr>
              <w:t>2</w:t>
            </w:r>
            <w:r>
              <w:rPr>
                <w:rFonts w:hint="eastAsia" w:ascii="宋体" w:hAnsi="宋体" w:cs="宋体"/>
                <w:color w:val="auto"/>
                <w:kern w:val="2"/>
                <w:highlight w:val="none"/>
                <w:lang w:val="en-US" w:eastAsia="zh-CN"/>
              </w:rPr>
              <w:t>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开标时间及地点</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b/>
                <w:bCs/>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开标时间：</w:t>
            </w:r>
            <w:r>
              <w:rPr>
                <w:rFonts w:hint="eastAsia" w:ascii="宋体" w:hAnsi="宋体" w:eastAsia="宋体" w:cs="宋体"/>
                <w:b/>
                <w:bCs/>
                <w:color w:val="auto"/>
                <w:kern w:val="2"/>
                <w:sz w:val="21"/>
                <w:szCs w:val="21"/>
                <w:highlight w:val="none"/>
                <w:u w:color="000000"/>
                <w:lang w:val="en-US" w:eastAsia="zh-CN" w:bidi="ar"/>
              </w:rPr>
              <w:t>202</w:t>
            </w:r>
            <w:r>
              <w:rPr>
                <w:rFonts w:hint="eastAsia" w:ascii="宋体" w:hAnsi="宋体" w:cs="宋体"/>
                <w:b/>
                <w:bCs/>
                <w:color w:val="auto"/>
                <w:kern w:val="2"/>
                <w:sz w:val="21"/>
                <w:szCs w:val="21"/>
                <w:highlight w:val="none"/>
                <w:u w:color="000000"/>
                <w:lang w:val="en-US" w:eastAsia="zh-CN" w:bidi="ar"/>
              </w:rPr>
              <w:t>4</w:t>
            </w:r>
            <w:r>
              <w:rPr>
                <w:rFonts w:hint="eastAsia" w:ascii="宋体" w:hAnsi="宋体" w:eastAsia="宋体" w:cs="宋体"/>
                <w:b/>
                <w:bCs/>
                <w:color w:val="auto"/>
                <w:kern w:val="2"/>
                <w:sz w:val="21"/>
                <w:szCs w:val="21"/>
                <w:highlight w:val="none"/>
                <w:u w:color="000000"/>
                <w:lang w:val="en-US" w:eastAsia="zh-CN" w:bidi="ar"/>
              </w:rPr>
              <w:t>年</w:t>
            </w:r>
            <w:r>
              <w:rPr>
                <w:rFonts w:hint="eastAsia" w:ascii="宋体" w:hAnsi="宋体" w:cs="宋体"/>
                <w:b/>
                <w:bCs/>
                <w:color w:val="auto"/>
                <w:kern w:val="2"/>
                <w:sz w:val="21"/>
                <w:szCs w:val="21"/>
                <w:highlight w:val="none"/>
                <w:u w:color="000000"/>
                <w:lang w:val="en-US" w:eastAsia="zh-CN" w:bidi="ar"/>
              </w:rPr>
              <w:t>4</w:t>
            </w:r>
            <w:r>
              <w:rPr>
                <w:rFonts w:hint="eastAsia" w:ascii="宋体" w:hAnsi="宋体" w:eastAsia="宋体" w:cs="宋体"/>
                <w:b/>
                <w:bCs/>
                <w:color w:val="auto"/>
                <w:kern w:val="2"/>
                <w:sz w:val="21"/>
                <w:szCs w:val="21"/>
                <w:highlight w:val="none"/>
                <w:u w:color="000000"/>
                <w:lang w:val="en-US" w:eastAsia="zh-CN" w:bidi="ar"/>
              </w:rPr>
              <w:t>月</w:t>
            </w:r>
            <w:r>
              <w:rPr>
                <w:rFonts w:hint="eastAsia" w:ascii="宋体" w:hAnsi="宋体" w:cs="宋体"/>
                <w:b/>
                <w:bCs/>
                <w:color w:val="auto"/>
                <w:kern w:val="2"/>
                <w:sz w:val="21"/>
                <w:szCs w:val="21"/>
                <w:highlight w:val="none"/>
                <w:u w:color="000000"/>
                <w:lang w:val="en-US" w:eastAsia="zh-CN" w:bidi="ar"/>
              </w:rPr>
              <w:t>24</w:t>
            </w:r>
            <w:r>
              <w:rPr>
                <w:rFonts w:hint="eastAsia" w:ascii="宋体" w:hAnsi="宋体" w:eastAsia="宋体" w:cs="宋体"/>
                <w:b/>
                <w:bCs/>
                <w:color w:val="auto"/>
                <w:kern w:val="2"/>
                <w:sz w:val="21"/>
                <w:szCs w:val="21"/>
                <w:highlight w:val="none"/>
                <w:u w:color="000000"/>
                <w:lang w:val="en-US" w:eastAsia="zh-CN" w:bidi="ar"/>
              </w:rPr>
              <w:t>日</w:t>
            </w:r>
            <w:r>
              <w:rPr>
                <w:rFonts w:hint="eastAsia" w:ascii="宋体" w:hAnsi="宋体" w:cs="宋体"/>
                <w:b/>
                <w:bCs/>
                <w:color w:val="auto"/>
                <w:kern w:val="2"/>
                <w:sz w:val="21"/>
                <w:szCs w:val="21"/>
                <w:highlight w:val="none"/>
                <w:u w:color="000000"/>
                <w:lang w:val="en-US" w:eastAsia="zh-CN" w:bidi="ar"/>
              </w:rPr>
              <w:t>10</w:t>
            </w:r>
            <w:r>
              <w:rPr>
                <w:rFonts w:hint="eastAsia" w:ascii="宋体" w:hAnsi="宋体" w:eastAsia="宋体" w:cs="宋体"/>
                <w:b/>
                <w:bCs/>
                <w:color w:val="auto"/>
                <w:kern w:val="2"/>
                <w:sz w:val="21"/>
                <w:szCs w:val="21"/>
                <w:highlight w:val="none"/>
                <w:u w:color="000000"/>
                <w:lang w:val="en-US" w:eastAsia="zh-CN" w:bidi="ar"/>
              </w:rPr>
              <w:t>时</w:t>
            </w:r>
            <w:r>
              <w:rPr>
                <w:rFonts w:hint="eastAsia" w:ascii="宋体" w:hAnsi="宋体" w:cs="宋体"/>
                <w:b/>
                <w:bCs/>
                <w:color w:val="auto"/>
                <w:kern w:val="2"/>
                <w:sz w:val="21"/>
                <w:szCs w:val="21"/>
                <w:highlight w:val="none"/>
                <w:u w:color="000000"/>
                <w:lang w:val="en-US" w:eastAsia="zh-CN" w:bidi="ar"/>
              </w:rPr>
              <w:t>0</w:t>
            </w:r>
            <w:r>
              <w:rPr>
                <w:rFonts w:hint="eastAsia" w:ascii="宋体" w:hAnsi="宋体" w:eastAsia="宋体" w:cs="宋体"/>
                <w:b/>
                <w:bCs/>
                <w:color w:val="auto"/>
                <w:kern w:val="2"/>
                <w:sz w:val="21"/>
                <w:szCs w:val="21"/>
                <w:highlight w:val="none"/>
                <w:u w:color="000000"/>
                <w:lang w:val="en-US" w:eastAsia="zh-CN" w:bidi="ar"/>
              </w:rPr>
              <w:t>0分（北京时间）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u w:color="000000"/>
                <w:lang w:val="en-US" w:eastAsia="zh-CN" w:bidi="ar"/>
              </w:rPr>
              <w:t>开标地点：</w:t>
            </w:r>
            <w:r>
              <w:rPr>
                <w:rFonts w:hint="eastAsia" w:ascii="宋体" w:hAnsi="宋体" w:eastAsia="宋体" w:cs="宋体"/>
                <w:color w:val="auto"/>
                <w:szCs w:val="21"/>
                <w:highlight w:val="none"/>
                <w:lang w:val="en-US" w:eastAsia="zh-CN"/>
              </w:rPr>
              <w:t>滁州市城投工程咨询管理有限公司(滁州市龙蟠大道109号房产大厦六楼6</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lang w:val="en-US" w:eastAsia="zh-CN"/>
              </w:rPr>
              <w:t>会议室)</w:t>
            </w:r>
          </w:p>
        </w:tc>
      </w:tr>
      <w:tr>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cs="宋体"/>
                <w:color w:val="auto"/>
                <w:kern w:val="2"/>
                <w:highlight w:val="none"/>
                <w:lang w:val="en-US" w:eastAsia="zh-CN"/>
              </w:rPr>
              <w:t>29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开标程序</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由代理机构开启电子投标文件，报评标委员会评审。</w:t>
            </w:r>
          </w:p>
        </w:tc>
      </w:tr>
      <w:tr>
        <w:tblPrEx>
          <w:tblCellMar>
            <w:top w:w="0" w:type="dxa"/>
            <w:left w:w="108" w:type="dxa"/>
            <w:bottom w:w="0" w:type="dxa"/>
            <w:right w:w="108" w:type="dxa"/>
          </w:tblCellMar>
        </w:tblPrEx>
        <w:trPr>
          <w:trHeight w:val="488"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评标委员会的组建</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E/>
              <w:autoSpaceDN/>
              <w:bidi w:val="0"/>
              <w:spacing w:line="440" w:lineRule="exact"/>
              <w:textAlignment w:val="auto"/>
              <w:rPr>
                <w:rFonts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评标委员会由招标人依法组建。</w:t>
            </w:r>
          </w:p>
        </w:tc>
      </w:tr>
      <w:tr>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b/>
                <w:bCs/>
                <w:color w:val="auto"/>
                <w:szCs w:val="21"/>
                <w:highlight w:val="none"/>
                <w:lang w:val="en-US" w:eastAsia="zh-CN"/>
              </w:rPr>
            </w:pPr>
            <w:r>
              <w:rPr>
                <w:rFonts w:hint="eastAsia" w:ascii="宋体" w:hAnsi="宋体" w:cs="宋体"/>
                <w:color w:val="auto"/>
                <w:szCs w:val="21"/>
                <w:highlight w:val="none"/>
                <w:lang w:val="en-US" w:eastAsia="zh-CN"/>
              </w:rPr>
              <w:t>31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jc w:val="center"/>
              <w:textAlignment w:val="auto"/>
              <w:rPr>
                <w:rFonts w:ascii="宋体" w:hAnsi="宋体" w:cs="宋体"/>
                <w:bCs/>
                <w:color w:val="auto"/>
                <w:szCs w:val="21"/>
                <w:highlight w:val="none"/>
              </w:rPr>
            </w:pPr>
            <w:r>
              <w:rPr>
                <w:rFonts w:hint="eastAsia" w:ascii="宋体" w:hAnsi="宋体" w:eastAsia="宋体" w:cs="宋体"/>
                <w:b w:val="0"/>
                <w:bCs w:val="0"/>
                <w:color w:val="auto"/>
                <w:sz w:val="21"/>
                <w:szCs w:val="21"/>
                <w:highlight w:val="none"/>
              </w:rPr>
              <w:t>评标委员会确定中标候选人的人数</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ascii="宋体" w:hAnsi="宋体" w:cs="宋体"/>
                <w:bCs/>
                <w:color w:val="auto"/>
                <w:szCs w:val="21"/>
                <w:highlight w:val="none"/>
              </w:rPr>
            </w:pPr>
            <w:r>
              <w:rPr>
                <w:rFonts w:hint="eastAsia" w:ascii="宋体" w:hAnsi="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名，并标明排序。</w:t>
            </w:r>
          </w:p>
        </w:tc>
      </w:tr>
      <w:tr>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32</w:t>
            </w:r>
          </w:p>
        </w:tc>
        <w:tc>
          <w:tcPr>
            <w:tcW w:w="2209" w:type="dxa"/>
            <w:gridSpan w:val="2"/>
            <w:tcBorders>
              <w:top w:val="single" w:color="auto" w:sz="4" w:space="0"/>
              <w:left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中标候选人公示媒介</w:t>
            </w:r>
          </w:p>
        </w:tc>
        <w:tc>
          <w:tcPr>
            <w:tcW w:w="7251" w:type="dxa"/>
            <w:tcBorders>
              <w:top w:val="single" w:color="auto" w:sz="4" w:space="0"/>
              <w:left w:val="single" w:color="auto" w:sz="4" w:space="0"/>
              <w:right w:val="single" w:color="auto"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公示媒介：同招标公告发布媒介</w:t>
            </w:r>
          </w:p>
          <w:p>
            <w:pPr>
              <w:keepNext w:val="0"/>
              <w:keepLines w:val="0"/>
              <w:pageBreakBefore w:val="0"/>
              <w:kinsoku/>
              <w:wordWrap/>
              <w:overflowPunct/>
              <w:autoSpaceDE/>
              <w:autoSpaceDN/>
              <w:bidi w:val="0"/>
              <w:spacing w:line="440" w:lineRule="exact"/>
              <w:textAlignment w:val="auto"/>
              <w:rPr>
                <w:rFonts w:ascii="宋体" w:hAnsi="宋体" w:cs="宋体"/>
                <w:color w:val="auto"/>
                <w:szCs w:val="21"/>
                <w:highlight w:val="none"/>
              </w:rPr>
            </w:pPr>
            <w:r>
              <w:rPr>
                <w:rFonts w:hint="eastAsia" w:ascii="宋体" w:hAnsi="宋体" w:eastAsia="宋体" w:cs="宋体"/>
                <w:b w:val="0"/>
                <w:bCs w:val="0"/>
                <w:color w:val="auto"/>
                <w:sz w:val="21"/>
                <w:szCs w:val="21"/>
                <w:highlight w:val="none"/>
              </w:rPr>
              <w:t>公示期限：公示发布次日起3日（如公示第三日为休息日或节假日，则顺延至休息日或节假日后第一个工作日）</w:t>
            </w:r>
          </w:p>
        </w:tc>
      </w:tr>
      <w:tr>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33</w:t>
            </w:r>
          </w:p>
        </w:tc>
        <w:tc>
          <w:tcPr>
            <w:tcW w:w="2209" w:type="dxa"/>
            <w:gridSpan w:val="2"/>
            <w:tcBorders>
              <w:top w:val="single" w:color="auto" w:sz="4" w:space="0"/>
              <w:left w:val="single" w:color="auto" w:sz="4" w:space="0"/>
              <w:right w:val="single" w:color="auto" w:sz="4" w:space="0"/>
            </w:tcBorders>
            <w:noWrap/>
            <w:vAlign w:val="center"/>
          </w:tcPr>
          <w:p>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eastAsia="宋体" w:cs="宋体"/>
                <w:color w:val="auto"/>
                <w:kern w:val="2"/>
                <w:sz w:val="21"/>
                <w:szCs w:val="21"/>
                <w:highlight w:val="none"/>
                <w:lang w:val="en-US" w:eastAsia="zh-CN" w:bidi="ar-SA"/>
              </w:rPr>
            </w:pPr>
            <w:r>
              <w:rPr>
                <w:rFonts w:hint="eastAsia"/>
                <w:color w:val="auto"/>
                <w:sz w:val="21"/>
                <w:szCs w:val="21"/>
                <w:highlight w:val="none"/>
              </w:rPr>
              <w:t>中标通知书发出形式</w:t>
            </w:r>
          </w:p>
        </w:tc>
        <w:tc>
          <w:tcPr>
            <w:tcW w:w="7251" w:type="dxa"/>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autoSpaceDE/>
              <w:autoSpaceDN/>
              <w:bidi w:val="0"/>
              <w:adjustRightInd w:val="0"/>
              <w:snapToGrid w:val="0"/>
              <w:spacing w:line="44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color="000000"/>
                <w:lang w:val="en-US" w:eastAsia="zh-CN" w:bidi="ar"/>
              </w:rPr>
              <w:t>中标通知书须加盖招标人、招标代理公司公章后方可发出。</w:t>
            </w:r>
          </w:p>
        </w:tc>
      </w:tr>
      <w:tr>
        <w:tblPrEx>
          <w:tblCellMar>
            <w:top w:w="0" w:type="dxa"/>
            <w:left w:w="108" w:type="dxa"/>
            <w:bottom w:w="0" w:type="dxa"/>
            <w:right w:w="108" w:type="dxa"/>
          </w:tblCellMar>
        </w:tblPrEx>
        <w:trPr>
          <w:trHeight w:val="97"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履约担保</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E/>
              <w:autoSpaceDN/>
              <w:bidi w:val="0"/>
              <w:spacing w:line="440" w:lineRule="exact"/>
              <w:textAlignment w:val="auto"/>
              <w:rPr>
                <w:rFonts w:ascii="宋体" w:hAnsi="宋体" w:cs="宋体"/>
                <w:bCs/>
                <w:color w:val="auto"/>
                <w:szCs w:val="21"/>
                <w:highlight w:val="none"/>
              </w:rPr>
            </w:pPr>
            <w:r>
              <w:rPr>
                <w:rFonts w:hint="eastAsia" w:ascii="宋体" w:hAnsi="宋体" w:cs="宋体"/>
                <w:bCs/>
                <w:color w:val="auto"/>
                <w:szCs w:val="21"/>
                <w:highlight w:val="none"/>
              </w:rPr>
              <w:t>履约担保的形式：</w:t>
            </w:r>
            <w:r>
              <w:rPr>
                <w:rFonts w:hint="eastAsia" w:ascii="宋体" w:hAnsi="宋体" w:cs="宋体"/>
                <w:color w:val="auto"/>
                <w:szCs w:val="21"/>
                <w:highlight w:val="none"/>
              </w:rPr>
              <w:t>银行转帐或</w:t>
            </w:r>
            <w:r>
              <w:rPr>
                <w:rFonts w:hint="eastAsia" w:ascii="宋体" w:hAnsi="宋体" w:cs="宋体"/>
                <w:bCs/>
                <w:color w:val="auto"/>
                <w:szCs w:val="21"/>
                <w:highlight w:val="none"/>
                <w:lang w:val="zh-CN"/>
              </w:rPr>
              <w:t>银行保函方式【须为见索即付保函（无条件保函）】</w:t>
            </w:r>
            <w:r>
              <w:rPr>
                <w:rFonts w:hint="eastAsia" w:ascii="宋体" w:hAnsi="宋体" w:cs="宋体"/>
                <w:color w:val="auto"/>
                <w:szCs w:val="21"/>
                <w:highlight w:val="none"/>
              </w:rPr>
              <w:t xml:space="preserve"> </w:t>
            </w:r>
          </w:p>
          <w:p>
            <w:pPr>
              <w:keepNext w:val="0"/>
              <w:keepLines w:val="0"/>
              <w:pageBreakBefore w:val="0"/>
              <w:kinsoku/>
              <w:wordWrap/>
              <w:overflowPunct/>
              <w:autoSpaceDE/>
              <w:autoSpaceDN/>
              <w:bidi w:val="0"/>
              <w:spacing w:line="440" w:lineRule="exact"/>
              <w:textAlignment w:val="auto"/>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rPr>
              <w:t>履约担保的金额：</w:t>
            </w:r>
            <w:r>
              <w:rPr>
                <w:rFonts w:hint="eastAsia" w:ascii="宋体" w:hAnsi="宋体" w:cs="宋体"/>
                <w:color w:val="auto"/>
                <w:szCs w:val="21"/>
                <w:highlight w:val="none"/>
                <w:lang w:val="en-US" w:eastAsia="zh-CN"/>
              </w:rPr>
              <w:t>合同估算价款</w:t>
            </w:r>
            <w:r>
              <w:rPr>
                <w:rFonts w:hint="eastAsia" w:ascii="宋体" w:hAnsi="宋体" w:cs="宋体"/>
                <w:bCs/>
                <w:color w:val="auto"/>
                <w:szCs w:val="21"/>
                <w:highlight w:val="none"/>
              </w:rPr>
              <w:t>×2%</w:t>
            </w:r>
          </w:p>
          <w:p>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收款单位：中标后另行通知                 </w:t>
            </w:r>
          </w:p>
          <w:p>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开户银行：中标后另行通知                   </w:t>
            </w:r>
          </w:p>
          <w:p>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银行账号：中标后另行通知                   </w:t>
            </w:r>
          </w:p>
          <w:p>
            <w:pPr>
              <w:keepNext w:val="0"/>
              <w:keepLines w:val="0"/>
              <w:pageBreakBefore w:val="0"/>
              <w:kinsoku/>
              <w:wordWrap/>
              <w:overflowPunct/>
              <w:autoSpaceDN/>
              <w:bidi w:val="0"/>
              <w:spacing w:line="440" w:lineRule="exact"/>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lang w:val="en-US" w:eastAsia="zh-CN"/>
              </w:rPr>
              <w:t>缴纳时限：</w:t>
            </w:r>
            <w:r>
              <w:rPr>
                <w:rFonts w:hint="eastAsia" w:ascii="宋体" w:hAnsi="宋体" w:cs="宋体"/>
                <w:color w:val="auto"/>
                <w:szCs w:val="21"/>
                <w:highlight w:val="none"/>
              </w:rPr>
              <w:t>中标人须在中标通知书发出后</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日内完成履约保证金或履约保函缴纳。中标单位原因造成合同延期签订的，每延期一天按1000元</w:t>
            </w:r>
            <w:r>
              <w:rPr>
                <w:rFonts w:hint="eastAsia" w:ascii="宋体" w:hAnsi="宋体" w:cs="宋体"/>
                <w:color w:val="auto"/>
                <w:szCs w:val="21"/>
                <w:highlight w:val="none"/>
                <w:lang w:val="en-US" w:eastAsia="zh-CN"/>
              </w:rPr>
              <w:t>处以违约金</w:t>
            </w:r>
            <w:r>
              <w:rPr>
                <w:rFonts w:hint="eastAsia" w:ascii="宋体" w:hAnsi="宋体" w:cs="宋体"/>
                <w:color w:val="auto"/>
                <w:szCs w:val="21"/>
                <w:highlight w:val="none"/>
              </w:rPr>
              <w:t xml:space="preserve">，延期签订情节严重的，招标人有权取消其中标资格。并承担给招标人造成的损失，同时依法承担相应法律责任。  </w:t>
            </w:r>
          </w:p>
          <w:p>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履约保证金退还时限：履约保证金有效期满7日内（最迟不得超过项目竣工验收通过后28天）</w:t>
            </w:r>
            <w:r>
              <w:rPr>
                <w:rFonts w:hint="eastAsia" w:cs="宋体"/>
                <w:color w:val="auto"/>
                <w:sz w:val="21"/>
                <w:szCs w:val="21"/>
                <w:highlight w:val="none"/>
                <w:lang w:val="en-US" w:eastAsia="zh-CN"/>
              </w:rPr>
              <w:t>。</w:t>
            </w:r>
          </w:p>
          <w:p>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其他相关要求：</w:t>
            </w:r>
          </w:p>
          <w:p>
            <w:pPr>
              <w:keepNext w:val="0"/>
              <w:keepLines w:val="0"/>
              <w:pageBreakBefore w:val="0"/>
              <w:kinsoku/>
              <w:wordWrap/>
              <w:overflowPunct/>
              <w:autoSpaceDE/>
              <w:autoSpaceDN/>
              <w:bidi w:val="0"/>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①保函形式须为见索即付型（无条件保函）；②须有保函编号；③须加盖银行公章而非银行业务专用章；④格式见合同附件；⑤保函的有效期不低于本项目质量验收合格后</w:t>
            </w:r>
            <w:r>
              <w:rPr>
                <w:rFonts w:hint="eastAsia" w:ascii="宋体" w:hAnsi="宋体" w:cs="宋体"/>
                <w:color w:val="auto"/>
                <w:szCs w:val="21"/>
                <w:highlight w:val="none"/>
                <w:lang w:eastAsia="zh-CN"/>
              </w:rPr>
              <w:t>；</w:t>
            </w:r>
            <w:r>
              <w:rPr>
                <w:rFonts w:hint="eastAsia" w:ascii="宋体" w:hAnsi="宋体" w:cs="宋体"/>
                <w:color w:val="auto"/>
                <w:szCs w:val="21"/>
                <w:highlight w:val="none"/>
              </w:rPr>
              <w:t>⑥须由滁州本地银行或在滁州具有分支机构的银行出具。 </w:t>
            </w:r>
          </w:p>
        </w:tc>
      </w:tr>
      <w:tr>
        <w:tblPrEx>
          <w:tblCellMar>
            <w:top w:w="0" w:type="dxa"/>
            <w:left w:w="108" w:type="dxa"/>
            <w:bottom w:w="0" w:type="dxa"/>
            <w:right w:w="108" w:type="dxa"/>
          </w:tblCellMar>
        </w:tblPrEx>
        <w:trPr>
          <w:trHeight w:val="9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宋体" w:hAnsi="宋体" w:cs="宋体"/>
                <w:color w:val="auto"/>
                <w:szCs w:val="21"/>
                <w:highlight w:val="none"/>
              </w:rPr>
            </w:pPr>
            <w:r>
              <w:rPr>
                <w:rFonts w:hint="eastAsia" w:ascii="宋体" w:hAnsi="宋体" w:eastAsia="宋体" w:cs="宋体"/>
                <w:b/>
                <w:bCs/>
                <w:color w:val="auto"/>
                <w:sz w:val="21"/>
                <w:szCs w:val="21"/>
                <w:highlight w:val="none"/>
              </w:rPr>
              <w:t>付款方式</w:t>
            </w:r>
          </w:p>
        </w:tc>
        <w:tc>
          <w:tcPr>
            <w:tcW w:w="725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40" w:lineRule="exact"/>
              <w:jc w:val="left"/>
              <w:textAlignment w:val="auto"/>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款按月支付，当月完成进度计划的合格分部分项工程按85%付进度款，工程结算经审核后付至审核结算价的98%，剩余2%作为工程质量保证金。工程质量保证金在工程缺陷责任期（缺陷责任期两年，从验收合格之日起计算）满后一个月内付清。（采用工程质量保证担保、工程质量保险等其他保证方式的，发包人不再预留质量保证金。）</w:t>
            </w:r>
          </w:p>
        </w:tc>
      </w:tr>
      <w:tr>
        <w:tblPrEx>
          <w:tblCellMar>
            <w:top w:w="0" w:type="dxa"/>
            <w:left w:w="108" w:type="dxa"/>
            <w:bottom w:w="0" w:type="dxa"/>
            <w:right w:w="108" w:type="dxa"/>
          </w:tblCellMar>
        </w:tblPrEx>
        <w:trPr>
          <w:trHeight w:val="90" w:hRule="atLeast"/>
          <w:jc w:val="center"/>
        </w:trPr>
        <w:tc>
          <w:tcPr>
            <w:tcW w:w="10328" w:type="dxa"/>
            <w:gridSpan w:val="4"/>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需要补充的其他内容</w:t>
            </w:r>
          </w:p>
        </w:tc>
      </w:tr>
      <w:tr>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jc w:val="center"/>
              <w:textAlignment w:val="auto"/>
              <w:rPr>
                <w:rFonts w:ascii="宋体" w:hAnsi="宋体" w:cs="宋体"/>
                <w:color w:val="auto"/>
                <w:szCs w:val="21"/>
                <w:highlight w:val="none"/>
              </w:rPr>
            </w:pPr>
            <w:r>
              <w:rPr>
                <w:rFonts w:hint="eastAsia" w:ascii="宋体" w:hAnsi="宋体" w:cs="宋体"/>
                <w:color w:val="auto"/>
                <w:sz w:val="21"/>
                <w:szCs w:val="21"/>
                <w:highlight w:val="none"/>
              </w:rPr>
              <w:t>招标代理服务费</w:t>
            </w:r>
          </w:p>
        </w:tc>
        <w:tc>
          <w:tcPr>
            <w:tcW w:w="8550"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代理服务具体金额：</w:t>
            </w:r>
            <w:r>
              <w:rPr>
                <w:rFonts w:hint="eastAsia" w:ascii="宋体" w:hAnsi="宋体" w:cs="宋体"/>
                <w:color w:val="auto"/>
                <w:kern w:val="0"/>
                <w:szCs w:val="21"/>
                <w:highlight w:val="none"/>
                <w:lang w:val="en-US" w:eastAsia="zh-CN"/>
              </w:rPr>
              <w:t>3000</w:t>
            </w:r>
            <w:r>
              <w:rPr>
                <w:rFonts w:hint="eastAsia" w:ascii="宋体" w:hAnsi="宋体" w:cs="宋体"/>
                <w:color w:val="auto"/>
                <w:kern w:val="0"/>
                <w:szCs w:val="21"/>
                <w:highlight w:val="none"/>
              </w:rPr>
              <w:t>元</w:t>
            </w:r>
            <w:r>
              <w:rPr>
                <w:rFonts w:hint="eastAsia" w:ascii="宋体" w:hAnsi="宋体" w:cs="宋体"/>
                <w:bCs/>
                <w:color w:val="auto"/>
                <w:kern w:val="0"/>
                <w:highlight w:val="none"/>
              </w:rPr>
              <w:t>。</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color w:val="auto"/>
                <w:szCs w:val="21"/>
                <w:highlight w:val="none"/>
              </w:rPr>
            </w:pPr>
            <w:r>
              <w:rPr>
                <w:rFonts w:hint="eastAsia" w:ascii="宋体" w:hAnsi="宋体" w:cs="宋体"/>
                <w:color w:val="auto"/>
                <w:kern w:val="0"/>
                <w:szCs w:val="21"/>
                <w:highlight w:val="none"/>
              </w:rPr>
              <w:t>代理服务费及专家费支付主体</w:t>
            </w:r>
            <w:r>
              <w:rPr>
                <w:rFonts w:hint="eastAsia" w:ascii="宋体" w:hAnsi="宋体" w:cs="宋体"/>
                <w:color w:val="auto"/>
                <w:szCs w:val="21"/>
                <w:highlight w:val="none"/>
              </w:rPr>
              <w:t>：</w:t>
            </w:r>
            <w:r>
              <w:rPr>
                <w:rFonts w:hint="eastAsia" w:ascii="宋体" w:hAnsi="宋体" w:cs="宋体"/>
                <w:color w:val="auto"/>
                <w:kern w:val="0"/>
                <w:szCs w:val="21"/>
                <w:highlight w:val="none"/>
              </w:rPr>
              <w:t>由中标单位在领取中标通知书时，一次性支付给代理机构。</w:t>
            </w:r>
          </w:p>
        </w:tc>
      </w:tr>
      <w:tr>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jc w:val="center"/>
              <w:textAlignment w:val="auto"/>
              <w:rPr>
                <w:rFonts w:hint="eastAsia" w:ascii="宋体" w:hAnsi="宋体" w:cs="宋体"/>
                <w:color w:val="auto"/>
                <w:szCs w:val="21"/>
                <w:highlight w:val="none"/>
              </w:rPr>
            </w:pPr>
            <w:r>
              <w:rPr>
                <w:rFonts w:hint="eastAsia" w:ascii="宋体" w:hAnsi="宋体" w:cs="宋体"/>
                <w:color w:val="auto"/>
                <w:sz w:val="21"/>
                <w:szCs w:val="21"/>
                <w:highlight w:val="none"/>
              </w:rPr>
              <w:t>专家评审劳务费</w:t>
            </w:r>
          </w:p>
        </w:tc>
        <w:tc>
          <w:tcPr>
            <w:tcW w:w="8550"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adjustRightInd w:val="0"/>
              <w:snapToGrid w:val="0"/>
              <w:spacing w:line="440" w:lineRule="exac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费用或支付标准：</w:t>
            </w:r>
            <w:r>
              <w:rPr>
                <w:rFonts w:hint="eastAsia" w:ascii="宋体" w:hAnsi="宋体" w:cs="宋体"/>
                <w:color w:val="auto"/>
                <w:sz w:val="21"/>
                <w:szCs w:val="21"/>
                <w:highlight w:val="none"/>
                <w:lang w:val="en-US" w:eastAsia="zh-CN"/>
              </w:rPr>
              <w:t>以实际发生为准。</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s="宋体"/>
                <w:color w:val="auto"/>
                <w:kern w:val="0"/>
                <w:szCs w:val="21"/>
                <w:highlight w:val="none"/>
              </w:rPr>
            </w:pPr>
            <w:r>
              <w:rPr>
                <w:rFonts w:hint="eastAsia"/>
                <w:color w:val="auto"/>
                <w:sz w:val="21"/>
                <w:szCs w:val="21"/>
                <w:highlight w:val="none"/>
              </w:rPr>
              <w:t>支付主体：</w:t>
            </w:r>
            <w:r>
              <w:rPr>
                <w:rFonts w:hint="eastAsia"/>
                <w:color w:val="auto"/>
                <w:sz w:val="21"/>
                <w:szCs w:val="21"/>
                <w:highlight w:val="none"/>
                <w:lang w:val="en-US" w:eastAsia="zh-CN"/>
              </w:rPr>
              <w:t>中标单位</w:t>
            </w:r>
          </w:p>
        </w:tc>
      </w:tr>
      <w:tr>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autoSpaceDN/>
              <w:bidi w:val="0"/>
              <w:spacing w:line="44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8550"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1、本招标文件前后条款若有不一致之处，在澄清答疑时又未作出明确规定时，各投标人的投标文件只要满足其中任一条款，均视为对本招标文件的响应。</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2、本项目招标公告与本招标文件不一致之处，以本招标文件为准。</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color w:val="auto"/>
                <w:szCs w:val="21"/>
                <w:highlight w:val="none"/>
              </w:rPr>
            </w:pPr>
            <w:r>
              <w:rPr>
                <w:rFonts w:hint="eastAsia" w:ascii="宋体" w:hAnsi="宋体" w:cs="宋体"/>
                <w:color w:val="auto"/>
                <w:szCs w:val="21"/>
                <w:highlight w:val="none"/>
              </w:rPr>
              <w:t>3、本项目严禁非法转包，一经发现，招标人依法处理。</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strike/>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、本文件的最终解释权归招标人、招标代理机构所有。</w:t>
            </w:r>
          </w:p>
        </w:tc>
      </w:tr>
    </w:tbl>
    <w:p>
      <w:pPr>
        <w:rPr>
          <w:rFonts w:hint="eastAsia" w:ascii="宋体" w:hAnsi="宋体" w:eastAsia="宋体" w:cs="宋体"/>
          <w:color w:val="auto"/>
          <w:sz w:val="24"/>
          <w:szCs w:val="24"/>
          <w:highlight w:val="none"/>
        </w:rPr>
      </w:pPr>
      <w:bookmarkStart w:id="53" w:name="_Toc35425053"/>
      <w:bookmarkStart w:id="54" w:name="_Toc15058846"/>
      <w:bookmarkStart w:id="55" w:name="_Toc78803322"/>
      <w:bookmarkStart w:id="56" w:name="_Toc5813"/>
      <w:bookmarkStart w:id="57" w:name="_Toc35424887"/>
      <w:r>
        <w:rPr>
          <w:rFonts w:hint="eastAsia" w:ascii="宋体" w:hAnsi="宋体" w:eastAsia="宋体" w:cs="宋体"/>
          <w:color w:val="auto"/>
          <w:sz w:val="24"/>
          <w:szCs w:val="24"/>
          <w:highlight w:val="none"/>
        </w:rPr>
        <w:br w:type="page"/>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总则</w:t>
      </w:r>
      <w:bookmarkEnd w:id="44"/>
      <w:bookmarkEnd w:id="45"/>
      <w:bookmarkEnd w:id="46"/>
      <w:bookmarkEnd w:id="47"/>
      <w:bookmarkEnd w:id="48"/>
      <w:bookmarkEnd w:id="49"/>
      <w:bookmarkEnd w:id="50"/>
      <w:bookmarkEnd w:id="51"/>
      <w:bookmarkEnd w:id="52"/>
      <w:bookmarkEnd w:id="53"/>
      <w:bookmarkEnd w:id="54"/>
      <w:bookmarkEnd w:id="55"/>
      <w:bookmarkEnd w:id="56"/>
      <w:bookmarkEnd w:id="57"/>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kern w:val="44"/>
          <w:highlight w:val="none"/>
        </w:rPr>
      </w:pPr>
      <w:bookmarkStart w:id="58" w:name="_Toc35424888"/>
      <w:bookmarkStart w:id="59" w:name="_Toc296602421"/>
      <w:bookmarkStart w:id="60" w:name="_Toc246996176"/>
      <w:bookmarkStart w:id="61" w:name="_Toc144974498"/>
      <w:bookmarkStart w:id="62" w:name="_Toc247085690"/>
      <w:bookmarkStart w:id="63" w:name="_Toc179632547"/>
      <w:bookmarkStart w:id="64" w:name="_Toc15058847"/>
      <w:bookmarkStart w:id="65" w:name="_Toc78803323"/>
      <w:bookmarkStart w:id="66" w:name="_Toc35425054"/>
      <w:bookmarkStart w:id="67" w:name="_Toc506107270"/>
      <w:bookmarkStart w:id="68" w:name="_Toc324404816"/>
      <w:bookmarkStart w:id="69" w:name="_Toc246996919"/>
      <w:bookmarkStart w:id="70" w:name="_Toc4678"/>
      <w:bookmarkStart w:id="71" w:name="_Toc152045530"/>
      <w:bookmarkStart w:id="72" w:name="_Toc152042306"/>
      <w:r>
        <w:rPr>
          <w:rFonts w:hint="eastAsia" w:ascii="宋体" w:hAnsi="宋体" w:eastAsia="宋体" w:cs="宋体"/>
          <w:color w:val="auto"/>
          <w:kern w:val="44"/>
          <w:highlight w:val="none"/>
        </w:rPr>
        <w:t>1.1 项目概况</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1.1.1根据《中华人民共和国招标投标法》《中华人民共和国招标投标法实施条例》等有关法律、法规和规章的规定，本招标项目已具备招标条件，现对本项目施工进行招标。</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本招标项目招标人：见投标人须知前附表。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本招标项目招标代理机构：见投标人须知前附表。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1.1.4 本招标项目名称：见投标人须知前附表。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1.1.5 本招标项目建设地点：见投标人须知前附表。</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73" w:name="_Toc144974499"/>
      <w:bookmarkStart w:id="74" w:name="_Toc246996177"/>
      <w:bookmarkStart w:id="75" w:name="_Toc35424889"/>
      <w:bookmarkStart w:id="76" w:name="_Toc324404817"/>
      <w:bookmarkStart w:id="77" w:name="_Toc35425055"/>
      <w:bookmarkStart w:id="78" w:name="_Toc15058848"/>
      <w:bookmarkStart w:id="79" w:name="_Toc506107271"/>
      <w:bookmarkStart w:id="80" w:name="_Toc246996920"/>
      <w:bookmarkStart w:id="81" w:name="_Toc152042307"/>
      <w:bookmarkStart w:id="82" w:name="_Toc7142"/>
      <w:bookmarkStart w:id="83" w:name="_Toc152045531"/>
      <w:bookmarkStart w:id="84" w:name="_Toc179632548"/>
      <w:bookmarkStart w:id="85" w:name="_Toc78803324"/>
      <w:bookmarkStart w:id="86" w:name="_Toc247085691"/>
      <w:bookmarkStart w:id="87" w:name="_Toc296602422"/>
      <w:r>
        <w:rPr>
          <w:rFonts w:hint="eastAsia" w:ascii="宋体" w:hAnsi="宋体" w:eastAsia="宋体" w:cs="宋体"/>
          <w:color w:val="auto"/>
          <w:highlight w:val="none"/>
        </w:rPr>
        <w:t>1.2 资金来源和落实情况</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1.2.1 本招标项目的资金来源及出资比例：见投标人须知前附表。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1.2.2 本招标项目的资金落实情况：见投标人须知前附表。</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88" w:name="_Toc247085692"/>
      <w:bookmarkStart w:id="89" w:name="_Toc78803325"/>
      <w:bookmarkStart w:id="90" w:name="_Toc35424890"/>
      <w:bookmarkStart w:id="91" w:name="_Toc144974500"/>
      <w:bookmarkStart w:id="92" w:name="_Toc246996921"/>
      <w:bookmarkStart w:id="93" w:name="_Toc6330"/>
      <w:bookmarkStart w:id="94" w:name="_Toc296602423"/>
      <w:bookmarkStart w:id="95" w:name="_Toc152042308"/>
      <w:bookmarkStart w:id="96" w:name="_Toc506107272"/>
      <w:bookmarkStart w:id="97" w:name="_Toc246996178"/>
      <w:bookmarkStart w:id="98" w:name="_Toc35425056"/>
      <w:bookmarkStart w:id="99" w:name="_Toc152045532"/>
      <w:bookmarkStart w:id="100" w:name="_Toc324404818"/>
      <w:bookmarkStart w:id="101" w:name="_Toc179632549"/>
      <w:bookmarkStart w:id="102" w:name="_Toc15058849"/>
      <w:r>
        <w:rPr>
          <w:rFonts w:hint="eastAsia" w:ascii="宋体" w:hAnsi="宋体" w:eastAsia="宋体" w:cs="宋体"/>
          <w:color w:val="auto"/>
          <w:highlight w:val="none"/>
        </w:rPr>
        <w:t>1.3 招标范围、</w:t>
      </w:r>
      <w:r>
        <w:rPr>
          <w:rFonts w:hint="eastAsia" w:ascii="宋体" w:hAnsi="宋体" w:eastAsia="宋体" w:cs="宋体"/>
          <w:color w:val="auto"/>
          <w:highlight w:val="none"/>
          <w:lang w:val="en-US" w:eastAsia="zh-CN"/>
        </w:rPr>
        <w:t>工期</w:t>
      </w:r>
      <w:r>
        <w:rPr>
          <w:rFonts w:hint="eastAsia" w:ascii="宋体" w:hAnsi="宋体" w:eastAsia="宋体" w:cs="宋体"/>
          <w:color w:val="auto"/>
          <w:highlight w:val="none"/>
        </w:rPr>
        <w:t>、质量要求</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1.3.1 本次招标范围：见投标人须知前附表。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1.3.2 本招标项目的</w:t>
      </w:r>
      <w:r>
        <w:rPr>
          <w:rFonts w:hint="eastAsia" w:ascii="宋体" w:hAnsi="宋体" w:cs="宋体"/>
          <w:color w:val="auto"/>
          <w:szCs w:val="21"/>
          <w:highlight w:val="none"/>
          <w:lang w:val="en-US" w:eastAsia="zh-CN"/>
        </w:rPr>
        <w:t>工期</w:t>
      </w:r>
      <w:r>
        <w:rPr>
          <w:rFonts w:hint="eastAsia" w:ascii="宋体" w:hAnsi="宋体" w:cs="宋体"/>
          <w:color w:val="auto"/>
          <w:szCs w:val="21"/>
          <w:highlight w:val="none"/>
        </w:rPr>
        <w:t>：见投标人须知前附表。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1.3.3 本招标项目的质量要求：见投标人须知前附表。</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03" w:name="_Toc26897"/>
      <w:bookmarkStart w:id="104" w:name="_Toc506107273"/>
      <w:bookmarkStart w:id="105" w:name="_Toc35425057"/>
      <w:bookmarkStart w:id="106" w:name="_Toc324404819"/>
      <w:bookmarkStart w:id="107" w:name="_Toc152045534"/>
      <w:bookmarkStart w:id="108" w:name="_Toc152042310"/>
      <w:bookmarkStart w:id="109" w:name="_Toc78803326"/>
      <w:bookmarkStart w:id="110" w:name="_Toc35424891"/>
      <w:bookmarkStart w:id="111" w:name="_Toc246996922"/>
      <w:bookmarkStart w:id="112" w:name="_Toc296602424"/>
      <w:bookmarkStart w:id="113" w:name="_Toc15058850"/>
      <w:bookmarkStart w:id="114" w:name="_Toc179632551"/>
      <w:bookmarkStart w:id="115" w:name="_Toc144974502"/>
      <w:bookmarkStart w:id="116" w:name="_Toc246996179"/>
      <w:bookmarkStart w:id="117" w:name="_Toc247085693"/>
      <w:r>
        <w:rPr>
          <w:rFonts w:hint="eastAsia" w:ascii="宋体" w:hAnsi="宋体" w:eastAsia="宋体" w:cs="宋体"/>
          <w:color w:val="auto"/>
          <w:highlight w:val="none"/>
        </w:rPr>
        <w:t>1.4 投标人资格要求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 投标人应具备承担本项目</w:t>
      </w:r>
      <w:r>
        <w:rPr>
          <w:rFonts w:hint="eastAsia" w:ascii="宋体" w:hAnsi="宋体" w:cs="宋体"/>
          <w:color w:val="auto"/>
          <w:szCs w:val="21"/>
          <w:highlight w:val="none"/>
          <w:lang w:val="en-US" w:eastAsia="zh-CN"/>
        </w:rPr>
        <w:t>施工</w:t>
      </w:r>
      <w:r>
        <w:rPr>
          <w:rFonts w:hint="eastAsia" w:ascii="宋体" w:hAnsi="宋体" w:cs="宋体"/>
          <w:color w:val="auto"/>
          <w:szCs w:val="21"/>
          <w:highlight w:val="none"/>
        </w:rPr>
        <w:t>的资质条件、能力和信誉。</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（1）资质条件：见投标人须知前附表；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（2）项目</w:t>
      </w:r>
      <w:r>
        <w:rPr>
          <w:rFonts w:hint="eastAsia" w:ascii="宋体" w:hAnsi="宋体" w:cs="宋体"/>
          <w:color w:val="auto"/>
          <w:szCs w:val="21"/>
          <w:highlight w:val="none"/>
          <w:lang w:val="en-US" w:eastAsia="zh-CN"/>
        </w:rPr>
        <w:t>经理</w:t>
      </w:r>
      <w:r>
        <w:rPr>
          <w:rFonts w:hint="eastAsia" w:ascii="宋体" w:hAnsi="宋体" w:cs="宋体"/>
          <w:color w:val="auto"/>
          <w:szCs w:val="21"/>
          <w:highlight w:val="none"/>
        </w:rPr>
        <w:t>资格：见投标人须知前附表；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（3）信誉要求：见投标人须知前附表；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）其他要求：见投标人须知前附表。</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1.4.2 投标人不得存在下列情形之一：</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（1）为招标人不具有独立法人资格的附属机构（单位）；</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（2）与招标人存在利害关系且可能影响招标公正性；</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（3）与本标段的其他投标人同为一个单位负责人；</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（4）与本标段的其他投标人存在控股、管理关系；</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（5）为本标段前期准备提供设计或咨询服务的法人或其任何附属机构（单位）；</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（6）为本标段的监理人；</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（7）为本标段的代建人；</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（8）为本标段的招标代理机构；</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（9）与本标段的监理人或代建人或招标代理机构同为一个法定代表人；</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（10）与本标段的监理人或代建人或招标代理机构存在控股或参股关系；</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（11）法律法规或投标人须知前附表规定的其他情形。</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 单位负责人为同一人或者存在控股、管理关系的不同单位，不得同时参加本招标项目投标。</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18" w:name="_Toc144974503"/>
      <w:bookmarkStart w:id="119" w:name="_Toc506107274"/>
      <w:bookmarkStart w:id="120" w:name="_Toc296602425"/>
      <w:bookmarkStart w:id="121" w:name="_Toc246996923"/>
      <w:bookmarkStart w:id="122" w:name="_Toc15058851"/>
      <w:bookmarkStart w:id="123" w:name="_Toc35424892"/>
      <w:bookmarkStart w:id="124" w:name="_Toc152045535"/>
      <w:bookmarkStart w:id="125" w:name="_Toc324404820"/>
      <w:bookmarkStart w:id="126" w:name="_Toc179632552"/>
      <w:bookmarkStart w:id="127" w:name="_Toc152042311"/>
      <w:bookmarkStart w:id="128" w:name="_Toc246996180"/>
      <w:bookmarkStart w:id="129" w:name="_Toc78803327"/>
      <w:bookmarkStart w:id="130" w:name="_Toc10179"/>
      <w:bookmarkStart w:id="131" w:name="_Toc247085694"/>
      <w:bookmarkStart w:id="132" w:name="_Toc35425058"/>
      <w:r>
        <w:rPr>
          <w:rFonts w:hint="eastAsia" w:ascii="宋体" w:hAnsi="宋体" w:eastAsia="宋体" w:cs="宋体"/>
          <w:color w:val="auto"/>
          <w:highlight w:val="none"/>
        </w:rPr>
        <w:t>1.5 费用承担</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投标人准备和参加投标活动发生的费用自理。</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33" w:name="_Toc247085695"/>
      <w:bookmarkStart w:id="134" w:name="_Toc78803328"/>
      <w:bookmarkStart w:id="135" w:name="_Toc15058852"/>
      <w:bookmarkStart w:id="136" w:name="_Toc179632553"/>
      <w:bookmarkStart w:id="137" w:name="_Toc4092"/>
      <w:bookmarkStart w:id="138" w:name="_Toc152045536"/>
      <w:bookmarkStart w:id="139" w:name="_Toc246996924"/>
      <w:bookmarkStart w:id="140" w:name="_Toc246996181"/>
      <w:bookmarkStart w:id="141" w:name="_Toc35425059"/>
      <w:bookmarkStart w:id="142" w:name="_Toc296602426"/>
      <w:bookmarkStart w:id="143" w:name="_Toc144974504"/>
      <w:bookmarkStart w:id="144" w:name="_Toc324404821"/>
      <w:bookmarkStart w:id="145" w:name="_Toc506107275"/>
      <w:bookmarkStart w:id="146" w:name="_Toc152042312"/>
      <w:bookmarkStart w:id="147" w:name="_Toc35424893"/>
      <w:r>
        <w:rPr>
          <w:rFonts w:hint="eastAsia" w:ascii="宋体" w:hAnsi="宋体" w:eastAsia="宋体" w:cs="宋体"/>
          <w:color w:val="auto"/>
          <w:highlight w:val="none"/>
        </w:rPr>
        <w:t>1.6 保密</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参与招标投标活动的各方应对招标文件和投标文件中的商业和技术等秘密保密，违者应对由此造成的后果承担法律责任。 </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48" w:name="_Toc144974505"/>
      <w:bookmarkStart w:id="149" w:name="_Toc506107276"/>
      <w:bookmarkStart w:id="150" w:name="_Toc152042313"/>
      <w:bookmarkStart w:id="151" w:name="_Toc324404822"/>
      <w:bookmarkStart w:id="152" w:name="_Toc246996182"/>
      <w:bookmarkStart w:id="153" w:name="_Toc35424894"/>
      <w:bookmarkStart w:id="154" w:name="_Toc152045537"/>
      <w:bookmarkStart w:id="155" w:name="_Toc246996925"/>
      <w:bookmarkStart w:id="156" w:name="_Toc247085696"/>
      <w:bookmarkStart w:id="157" w:name="_Toc179632554"/>
      <w:bookmarkStart w:id="158" w:name="_Toc35425060"/>
      <w:bookmarkStart w:id="159" w:name="_Toc15058853"/>
      <w:bookmarkStart w:id="160" w:name="_Toc78803329"/>
      <w:bookmarkStart w:id="161" w:name="_Toc4119"/>
      <w:bookmarkStart w:id="162" w:name="_Toc296602427"/>
      <w:r>
        <w:rPr>
          <w:rFonts w:hint="eastAsia" w:ascii="宋体" w:hAnsi="宋体" w:eastAsia="宋体" w:cs="宋体"/>
          <w:color w:val="auto"/>
          <w:highlight w:val="none"/>
        </w:rPr>
        <w:t>1.7 语言</w:t>
      </w:r>
      <w:bookmarkEnd w:id="148"/>
      <w:r>
        <w:rPr>
          <w:rFonts w:hint="eastAsia" w:ascii="宋体" w:hAnsi="宋体" w:eastAsia="宋体" w:cs="宋体"/>
          <w:color w:val="auto"/>
          <w:highlight w:val="none"/>
        </w:rPr>
        <w:t>文字</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163" w:name="_Toc179632555"/>
      <w:bookmarkStart w:id="164" w:name="_Toc144974506"/>
      <w:bookmarkStart w:id="165" w:name="_Toc246996183"/>
      <w:bookmarkStart w:id="166" w:name="_Toc152042314"/>
      <w:bookmarkStart w:id="167" w:name="_Toc247085697"/>
      <w:bookmarkStart w:id="168" w:name="_Toc246996926"/>
      <w:bookmarkStart w:id="169" w:name="_Toc152045538"/>
      <w:r>
        <w:rPr>
          <w:rFonts w:hint="eastAsia" w:ascii="宋体" w:hAnsi="宋体" w:cs="宋体"/>
          <w:color w:val="auto"/>
          <w:szCs w:val="21"/>
          <w:highlight w:val="none"/>
        </w:rPr>
        <w:t>招标投标文件使用的语言文字为中文。专用术语使用外文的，应附有中文注释。</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70" w:name="_Toc324404823"/>
      <w:bookmarkStart w:id="171" w:name="_Toc35425061"/>
      <w:bookmarkStart w:id="172" w:name="_Toc296602428"/>
      <w:bookmarkStart w:id="173" w:name="_Toc506107277"/>
      <w:bookmarkStart w:id="174" w:name="_Toc35424895"/>
      <w:bookmarkStart w:id="175" w:name="_Toc78803330"/>
      <w:bookmarkStart w:id="176" w:name="_Toc15058854"/>
      <w:bookmarkStart w:id="177" w:name="_Toc13408"/>
      <w:r>
        <w:rPr>
          <w:rFonts w:hint="eastAsia" w:ascii="宋体" w:hAnsi="宋体" w:eastAsia="宋体" w:cs="宋体"/>
          <w:color w:val="auto"/>
          <w:highlight w:val="none"/>
        </w:rPr>
        <w:t>1.8 计量单位</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所有计量均采用中华人民共和国法定计量单位。</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78" w:name="_Toc15058855"/>
      <w:bookmarkStart w:id="179" w:name="_Toc247592876"/>
      <w:bookmarkStart w:id="180" w:name="_Toc152045539"/>
      <w:bookmarkStart w:id="181" w:name="_Toc78803331"/>
      <w:bookmarkStart w:id="182" w:name="_Toc144974507"/>
      <w:bookmarkStart w:id="183" w:name="_Toc296602429"/>
      <w:bookmarkStart w:id="184" w:name="_Toc247513962"/>
      <w:bookmarkStart w:id="185" w:name="_Toc11493"/>
      <w:bookmarkStart w:id="186" w:name="_Toc35424896"/>
      <w:bookmarkStart w:id="187" w:name="_Toc247527563"/>
      <w:bookmarkStart w:id="188" w:name="_Toc324404824"/>
      <w:bookmarkStart w:id="189" w:name="_Toc152042315"/>
      <w:bookmarkStart w:id="190" w:name="_Toc506107278"/>
      <w:bookmarkStart w:id="191" w:name="_Toc35425062"/>
      <w:r>
        <w:rPr>
          <w:rFonts w:hint="eastAsia" w:ascii="宋体" w:hAnsi="宋体" w:eastAsia="宋体" w:cs="宋体"/>
          <w:color w:val="auto"/>
          <w:highlight w:val="none"/>
        </w:rPr>
        <w:t>1.9 踏勘现场</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1.9.1 投标人须知前附表规定组织踏勘现场的，招标人按投标人须知前附表规定的时间、地点组织投标人踏勘项目现场。 </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1.9.2 投标人踏勘现场发生的费用自理。</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1.9.3 除招标人的原因外，投标人自行负责在踏勘现场中所发生的人员伤亡和财产损失。</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1.9.4 招标人在踏勘现场中介绍的工程场地和相关的周边环境情况，供投标人在编制投标文件时参考，招标人不对投标人据此作出的判断和决策负责。</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92" w:name="_Toc15058856"/>
      <w:bookmarkStart w:id="193" w:name="_Toc78803332"/>
      <w:bookmarkStart w:id="194" w:name="_Toc296602430"/>
      <w:bookmarkStart w:id="195" w:name="_Toc324404825"/>
      <w:bookmarkStart w:id="196" w:name="_Toc144974508"/>
      <w:bookmarkStart w:id="197" w:name="_Toc506107279"/>
      <w:bookmarkStart w:id="198" w:name="_Toc247592877"/>
      <w:bookmarkStart w:id="199" w:name="_Toc247513963"/>
      <w:bookmarkStart w:id="200" w:name="_Toc35424897"/>
      <w:bookmarkStart w:id="201" w:name="_Toc22954"/>
      <w:bookmarkStart w:id="202" w:name="_Toc247527564"/>
      <w:bookmarkStart w:id="203" w:name="_Toc152045540"/>
      <w:bookmarkStart w:id="204" w:name="_Toc152042316"/>
      <w:bookmarkStart w:id="205" w:name="_Toc35425063"/>
      <w:r>
        <w:rPr>
          <w:rFonts w:hint="eastAsia" w:ascii="宋体" w:hAnsi="宋体" w:eastAsia="宋体" w:cs="宋体"/>
          <w:color w:val="auto"/>
          <w:highlight w:val="none"/>
        </w:rPr>
        <w:t>1.10 投标预备会</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1.10.1投标人须知前附表规定召开投标预备会的，招标人按投标人须知前附表规定的时间和地点召开投标预备会，澄清投标人提出的问题。</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1.10.2投标人应在投标人须知前附表规定的时间前，将提出的问题送达招标人，以便招标人澄清。</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1.10.3招标人在投标人须知前附表规定的时间，将对投标人所提的问题进行澄清。该澄清内容为招标文件的组成部分。</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206" w:name="_Toc296602431"/>
      <w:bookmarkStart w:id="207" w:name="_Toc324404826"/>
      <w:bookmarkStart w:id="208" w:name="_Toc15058857"/>
      <w:bookmarkStart w:id="209" w:name="_Toc506107280"/>
      <w:bookmarkStart w:id="210" w:name="_Toc95223347"/>
      <w:bookmarkStart w:id="211" w:name="_Toc60061444"/>
      <w:bookmarkStart w:id="212" w:name="_Toc83301699"/>
      <w:bookmarkStart w:id="213" w:name="_Toc246996930"/>
      <w:bookmarkStart w:id="214" w:name="_Toc35424899"/>
      <w:bookmarkStart w:id="215" w:name="_Toc144974510"/>
      <w:bookmarkStart w:id="216" w:name="_Toc324404827"/>
      <w:bookmarkStart w:id="217" w:name="_Toc152045542"/>
      <w:bookmarkStart w:id="218" w:name="_Toc152042318"/>
      <w:bookmarkStart w:id="219" w:name="_Toc4012"/>
      <w:bookmarkStart w:id="220" w:name="_Toc246996187"/>
      <w:bookmarkStart w:id="221" w:name="_Toc506107281"/>
      <w:bookmarkStart w:id="222" w:name="_Toc35425065"/>
      <w:bookmarkStart w:id="223" w:name="_Toc78803334"/>
      <w:bookmarkStart w:id="224" w:name="_Toc179632560"/>
      <w:bookmarkStart w:id="225" w:name="_Toc247085701"/>
      <w:bookmarkStart w:id="226" w:name="_Toc15058858"/>
      <w:r>
        <w:rPr>
          <w:rFonts w:hint="eastAsia" w:ascii="宋体" w:hAnsi="宋体" w:eastAsia="宋体" w:cs="宋体"/>
          <w:color w:val="auto"/>
          <w:highlight w:val="none"/>
        </w:rPr>
        <w:t xml:space="preserve">1.11 </w:t>
      </w:r>
      <w:bookmarkEnd w:id="206"/>
      <w:bookmarkEnd w:id="207"/>
      <w:bookmarkEnd w:id="208"/>
      <w:bookmarkEnd w:id="209"/>
      <w:r>
        <w:rPr>
          <w:rFonts w:hint="eastAsia" w:ascii="宋体" w:hAnsi="宋体" w:eastAsia="宋体" w:cs="宋体"/>
          <w:color w:val="auto"/>
          <w:highlight w:val="none"/>
        </w:rPr>
        <w:t>分包</w:t>
      </w:r>
      <w:bookmarkEnd w:id="210"/>
      <w:bookmarkEnd w:id="211"/>
      <w:bookmarkEnd w:id="212"/>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1.11.1 投标人拟在中标后将中标项目的部分非主体、非关键性工作进行分包的，应符合以下规定：</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（1）分包内容要求：招标人允许分包或不允许分包的专业工程（如有）应在投标人须知前附表中载明；</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（2）接受分包的第三人资格要求：分包人的资格能力应与其分包工程的标准和规模相适应，且具备投标人须知前附表中规定的资格条件；</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（3）其他要求：</w:t>
      </w:r>
      <w:r>
        <w:rPr>
          <w:rFonts w:hint="eastAsia" w:ascii="宋体" w:hAnsi="宋体" w:cs="宋体"/>
          <w:color w:val="auto"/>
          <w:szCs w:val="21"/>
          <w:highlight w:val="none"/>
          <w:lang w:val="en-US" w:eastAsia="zh-CN"/>
        </w:rPr>
        <w:t>无。</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1.11.2中标人不得向他人转让中标项目，接受分包的人不得再次分包。中标人应就分包项目向招标人负责，接受分包的人就分包项目承担连带责任。</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227" w:name="_Toc95223348"/>
      <w:bookmarkStart w:id="228" w:name="_Toc83301700"/>
      <w:bookmarkStart w:id="229" w:name="_Toc60061445"/>
      <w:r>
        <w:rPr>
          <w:rFonts w:hint="eastAsia" w:ascii="宋体" w:hAnsi="宋体" w:eastAsia="宋体" w:cs="宋体"/>
          <w:color w:val="auto"/>
          <w:highlight w:val="none"/>
        </w:rPr>
        <w:t>1.12 偏离</w:t>
      </w:r>
      <w:bookmarkEnd w:id="227"/>
      <w:bookmarkEnd w:id="228"/>
      <w:bookmarkEnd w:id="229"/>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1.12.1投标文件偏离招标文件某些要求，视为投标文件存在偏差。偏差包括重大偏差和细微偏差。</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1.12.2投标文件应对招标文件的实质性要求和条件作出满足性或更有利于招标人的响应，否则，视为投标文件存在重大偏差，投标人的投标将被否决。</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投标文件存在第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章“评标办法”中所列任一无效投标情形的，均属于存在重大偏差。</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1.12.3投标文件中的下列偏差为细微偏差：</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（1）在按照第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章“评标办法”的规定对投标价进行算术性错误修正及其他错误修正后，最终投标报价未超过最高投标限价（如有）或未被否决投标的情况下，出现第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章“评标办法”规定的算术性错误和投标报价的其他错误；</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（2）投标文件个别文字有遗漏错误等不影响投标文件实质性内容的偏差。</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1.12.4评标委员会对投标文件中的细微偏差按如下规定处理：</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对于本章第 1.12.3 项（1）目所述的细微偏差，按照第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章“评标办法”的规定予以修正并要求投标人进行澄清；</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对于本章第 1.12.3 项（2）目所述的细微偏差，可要求投标人对细微偏差进行澄清。</w:t>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 招标文件</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230" w:name="_Toc35424900"/>
      <w:bookmarkStart w:id="231" w:name="_Toc246996188"/>
      <w:bookmarkStart w:id="232" w:name="_Toc152042319"/>
      <w:bookmarkStart w:id="233" w:name="_Toc246996931"/>
      <w:bookmarkStart w:id="234" w:name="_Toc15058859"/>
      <w:bookmarkStart w:id="235" w:name="_Toc35425066"/>
      <w:bookmarkStart w:id="236" w:name="_Toc247085702"/>
      <w:bookmarkStart w:id="237" w:name="_Toc324404828"/>
      <w:bookmarkStart w:id="238" w:name="_Toc152045543"/>
      <w:bookmarkStart w:id="239" w:name="_Toc144974511"/>
      <w:bookmarkStart w:id="240" w:name="_Toc506107282"/>
      <w:bookmarkStart w:id="241" w:name="_Toc13213"/>
      <w:bookmarkStart w:id="242" w:name="_Toc78803335"/>
      <w:bookmarkStart w:id="243" w:name="_Toc179632561"/>
      <w:bookmarkStart w:id="244" w:name="_Toc296602433"/>
      <w:r>
        <w:rPr>
          <w:rFonts w:hint="eastAsia" w:ascii="宋体" w:hAnsi="宋体" w:eastAsia="宋体" w:cs="宋体"/>
          <w:color w:val="auto"/>
          <w:highlight w:val="none"/>
        </w:rPr>
        <w:t>2.1 招标文件的组成</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本招标文件包括：</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（1）招标公告；</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（2）投标人须知；</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（3）资格审查办法</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（4）评标办法；</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（5）合同条款及格式；</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（6）工程量清单； </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（7）图纸；</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）投标文件格式；</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）投标人须知前附表规定的其他材料。</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2.1.2 根据本章第1.10款、第2.2款和第2.3款对招标文件所作的澄清、修改，构成招标文件的组成部分。</w:t>
      </w:r>
    </w:p>
    <w:p>
      <w:pPr>
        <w:pStyle w:val="20"/>
        <w:pageBreakBefore w:val="0"/>
        <w:widowControl w:val="0"/>
        <w:kinsoku/>
        <w:wordWrap/>
        <w:overflowPunct/>
        <w:topLinePunct w:val="0"/>
        <w:autoSpaceDE/>
        <w:autoSpaceDN/>
        <w:bidi w:val="0"/>
        <w:adjustRightInd w:val="0"/>
        <w:snapToGrid w:val="0"/>
        <w:spacing w:after="0" w:line="420" w:lineRule="exact"/>
        <w:ind w:firstLine="420" w:firstLineChars="200"/>
        <w:textAlignment w:val="auto"/>
        <w:rPr>
          <w:color w:val="auto"/>
          <w:highlight w:val="none"/>
        </w:rPr>
      </w:pPr>
      <w:r>
        <w:rPr>
          <w:rFonts w:hint="eastAsia" w:ascii="宋体" w:hAnsi="宋体" w:cs="宋体"/>
          <w:color w:val="auto"/>
          <w:szCs w:val="21"/>
          <w:highlight w:val="none"/>
        </w:rPr>
        <w:t>2.1.3当招标文件、招标文件的澄清或修改等在同一内容的表述上不一致时，以最后发出的文件为准。</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bookmarkStart w:id="245" w:name="_Toc324404829"/>
      <w:bookmarkStart w:id="246" w:name="_Toc15058860"/>
      <w:bookmarkStart w:id="247" w:name="_Toc296602434"/>
      <w:bookmarkStart w:id="248" w:name="_Toc35425067"/>
      <w:bookmarkStart w:id="249" w:name="_Toc35424901"/>
      <w:bookmarkStart w:id="250" w:name="_Toc152045544"/>
      <w:bookmarkStart w:id="251" w:name="_Toc179632562"/>
      <w:bookmarkStart w:id="252" w:name="_Toc32239"/>
      <w:bookmarkStart w:id="253" w:name="_Toc247085703"/>
      <w:bookmarkStart w:id="254" w:name="_Toc246996189"/>
      <w:bookmarkStart w:id="255" w:name="_Toc506107283"/>
      <w:bookmarkStart w:id="256" w:name="_Toc144974512"/>
      <w:bookmarkStart w:id="257" w:name="_Toc78803336"/>
      <w:bookmarkStart w:id="258" w:name="_Toc246996932"/>
      <w:bookmarkStart w:id="259" w:name="_Toc152042320"/>
      <w:r>
        <w:rPr>
          <w:rFonts w:hint="eastAsia" w:ascii="宋体" w:hAnsi="宋体" w:eastAsia="宋体" w:cs="宋体"/>
          <w:color w:val="auto"/>
          <w:highlight w:val="none"/>
        </w:rPr>
        <w:t>2.2 招标文件的</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Pr>
          <w:rFonts w:hint="eastAsia" w:ascii="宋体" w:hAnsi="宋体" w:eastAsia="宋体" w:cs="宋体"/>
          <w:color w:val="auto"/>
          <w:highlight w:val="none"/>
          <w:lang w:val="en-US" w:eastAsia="zh-CN"/>
        </w:rPr>
        <w:t>异议</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Cs w:val="21"/>
          <w:highlight w:val="none"/>
        </w:rPr>
        <w:t>投标人或其他利害关系人投标人应仔细阅读和检查招标文件的全部内容，对招标文件有异议的，应在投标人须知前附表规定的</w:t>
      </w:r>
      <w:r>
        <w:rPr>
          <w:rFonts w:hint="eastAsia" w:ascii="宋体" w:hAnsi="宋体" w:eastAsia="宋体" w:cs="宋体"/>
          <w:color w:val="auto"/>
          <w:szCs w:val="21"/>
          <w:highlight w:val="none"/>
          <w:lang w:val="en-US" w:eastAsia="zh-CN"/>
        </w:rPr>
        <w:t>时间前以</w:t>
      </w:r>
      <w:r>
        <w:rPr>
          <w:rFonts w:hint="eastAsia" w:ascii="宋体" w:hAnsi="宋体" w:eastAsia="宋体" w:cs="宋体"/>
          <w:color w:val="auto"/>
          <w:szCs w:val="21"/>
          <w:highlight w:val="none"/>
        </w:rPr>
        <w:t>网上留言或书面形式提出。招标人将在</w:t>
      </w:r>
      <w:r>
        <w:rPr>
          <w:rFonts w:hint="eastAsia" w:ascii="宋体" w:hAnsi="宋体" w:cs="宋体"/>
          <w:color w:val="auto"/>
          <w:szCs w:val="21"/>
          <w:highlight w:val="none"/>
          <w:lang w:eastAsia="zh-CN"/>
        </w:rPr>
        <w:t>“滁州市兴滁矿业投资集团有限公司”（http://www.xckytz.com/）</w:t>
      </w:r>
      <w:r>
        <w:rPr>
          <w:rFonts w:hint="eastAsia" w:ascii="宋体" w:hAnsi="宋体" w:cs="宋体"/>
          <w:color w:val="auto"/>
          <w:szCs w:val="21"/>
          <w:highlight w:val="none"/>
        </w:rPr>
        <w:t xml:space="preserve">发布，但不指明澄清问题的来源。 </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bookmarkStart w:id="260" w:name="_Toc179632563"/>
      <w:bookmarkStart w:id="261" w:name="_Toc506107284"/>
      <w:bookmarkStart w:id="262" w:name="_Toc152045545"/>
      <w:bookmarkStart w:id="263" w:name="_Toc15058861"/>
      <w:bookmarkStart w:id="264" w:name="_Toc78803337"/>
      <w:bookmarkStart w:id="265" w:name="_Toc246996933"/>
      <w:bookmarkStart w:id="266" w:name="_Toc144974513"/>
      <w:bookmarkStart w:id="267" w:name="_Toc296602435"/>
      <w:bookmarkStart w:id="268" w:name="_Toc324404830"/>
      <w:bookmarkStart w:id="269" w:name="_Toc246996190"/>
      <w:bookmarkStart w:id="270" w:name="_Toc247085704"/>
      <w:bookmarkStart w:id="271" w:name="_Toc35424902"/>
      <w:bookmarkStart w:id="272" w:name="_Toc35425068"/>
      <w:bookmarkStart w:id="273" w:name="_Toc152042321"/>
      <w:bookmarkStart w:id="274" w:name="_Toc24633"/>
      <w:r>
        <w:rPr>
          <w:rFonts w:hint="eastAsia" w:ascii="宋体" w:hAnsi="宋体" w:eastAsia="宋体" w:cs="宋体"/>
          <w:color w:val="auto"/>
          <w:highlight w:val="none"/>
        </w:rPr>
        <w:t>2.3 招标文件的</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hint="eastAsia" w:ascii="宋体" w:hAnsi="宋体" w:eastAsia="宋体" w:cs="宋体"/>
          <w:color w:val="auto"/>
          <w:highlight w:val="none"/>
          <w:lang w:val="en-US" w:eastAsia="zh-CN"/>
        </w:rPr>
        <w:t>澄清</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招标人可以澄清招标文件，并以投标人须知前附表规定澄清的方式在</w:t>
      </w:r>
      <w:r>
        <w:rPr>
          <w:rFonts w:hint="eastAsia" w:ascii="宋体" w:hAnsi="宋体" w:cs="宋体"/>
          <w:color w:val="auto"/>
          <w:spacing w:val="-11"/>
          <w:szCs w:val="21"/>
          <w:highlight w:val="none"/>
          <w:lang w:eastAsia="zh-CN"/>
        </w:rPr>
        <w:t>“滁州市兴滁矿业投资集团有限公司”（http://www.xckytz.com/）</w:t>
      </w:r>
      <w:r>
        <w:rPr>
          <w:rFonts w:hint="eastAsia"/>
          <w:color w:val="auto"/>
          <w:highlight w:val="none"/>
        </w:rPr>
        <w:t xml:space="preserve"> </w:t>
      </w:r>
      <w:r>
        <w:rPr>
          <w:rFonts w:hint="eastAsia" w:ascii="宋体" w:hAnsi="宋体" w:cs="宋体"/>
          <w:color w:val="auto"/>
          <w:szCs w:val="21"/>
          <w:highlight w:val="none"/>
        </w:rPr>
        <w:t>发布。但如果修改内容影响投标文件编制的，将相应延长投标截止时间。</w:t>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275" w:name="_Toc152045546"/>
      <w:bookmarkStart w:id="276" w:name="_Toc35425070"/>
      <w:bookmarkStart w:id="277" w:name="_Toc144974514"/>
      <w:bookmarkStart w:id="278" w:name="_Toc6464"/>
      <w:bookmarkStart w:id="279" w:name="_Toc247085705"/>
      <w:bookmarkStart w:id="280" w:name="_Toc152042322"/>
      <w:bookmarkStart w:id="281" w:name="_Toc246996934"/>
      <w:bookmarkStart w:id="282" w:name="_Toc324404832"/>
      <w:bookmarkStart w:id="283" w:name="_Toc246996191"/>
      <w:bookmarkStart w:id="284" w:name="_Toc506107285"/>
      <w:bookmarkStart w:id="285" w:name="_Toc15058863"/>
      <w:bookmarkStart w:id="286" w:name="_Toc78803339"/>
      <w:bookmarkStart w:id="287" w:name="_Toc179632564"/>
      <w:bookmarkStart w:id="288" w:name="_Toc35424904"/>
      <w:r>
        <w:rPr>
          <w:rFonts w:hint="eastAsia" w:ascii="宋体" w:hAnsi="宋体" w:eastAsia="宋体" w:cs="宋体"/>
          <w:color w:val="auto"/>
          <w:sz w:val="24"/>
          <w:szCs w:val="24"/>
          <w:highlight w:val="none"/>
        </w:rPr>
        <w:t>3. 投标文件</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289" w:name="_Toc179632565"/>
      <w:bookmarkStart w:id="290" w:name="_Toc144974515"/>
      <w:bookmarkStart w:id="291" w:name="_Toc296602437"/>
      <w:bookmarkStart w:id="292" w:name="_Toc246996935"/>
      <w:bookmarkStart w:id="293" w:name="_Toc78803340"/>
      <w:bookmarkStart w:id="294" w:name="_Toc247085706"/>
      <w:bookmarkStart w:id="295" w:name="_Toc35424905"/>
      <w:bookmarkStart w:id="296" w:name="_Toc324404833"/>
      <w:bookmarkStart w:id="297" w:name="_Toc157"/>
      <w:bookmarkStart w:id="298" w:name="_Toc35425071"/>
      <w:bookmarkStart w:id="299" w:name="_Toc15058864"/>
      <w:bookmarkStart w:id="300" w:name="_Toc152045547"/>
      <w:bookmarkStart w:id="301" w:name="_Toc506107286"/>
      <w:bookmarkStart w:id="302" w:name="_Toc246996192"/>
      <w:bookmarkStart w:id="303" w:name="_Toc152042323"/>
      <w:r>
        <w:rPr>
          <w:rFonts w:hint="eastAsia" w:ascii="宋体" w:hAnsi="宋体" w:eastAsia="宋体" w:cs="宋体"/>
          <w:color w:val="auto"/>
          <w:highlight w:val="none"/>
        </w:rPr>
        <w:t>3.1 投标文件的组成</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投标文件的具体组成部分及材料要求详见本招标文件第</w:t>
      </w: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章“投标文件格式”。</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04" w:name="_Toc152045548"/>
      <w:bookmarkStart w:id="305" w:name="_Toc246996193"/>
      <w:bookmarkStart w:id="306" w:name="_Toc324404834"/>
      <w:bookmarkStart w:id="307" w:name="_Toc78803341"/>
      <w:bookmarkStart w:id="308" w:name="_Toc144974516"/>
      <w:bookmarkStart w:id="309" w:name="_Toc35424906"/>
      <w:bookmarkStart w:id="310" w:name="_Toc296602438"/>
      <w:bookmarkStart w:id="311" w:name="_Toc35425072"/>
      <w:bookmarkStart w:id="312" w:name="_Toc246996936"/>
      <w:bookmarkStart w:id="313" w:name="_Toc15058865"/>
      <w:bookmarkStart w:id="314" w:name="_Toc506107287"/>
      <w:bookmarkStart w:id="315" w:name="_Toc247085707"/>
      <w:bookmarkStart w:id="316" w:name="_Toc6829"/>
      <w:bookmarkStart w:id="317" w:name="_Toc152042324"/>
      <w:bookmarkStart w:id="318" w:name="_Toc179632566"/>
      <w:r>
        <w:rPr>
          <w:rFonts w:hint="eastAsia" w:ascii="宋体" w:hAnsi="宋体" w:eastAsia="宋体" w:cs="宋体"/>
          <w:color w:val="auto"/>
          <w:highlight w:val="none"/>
        </w:rPr>
        <w:t>3.2 投标报价</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bookmarkStart w:id="319" w:name="_Toc144974517"/>
      <w:bookmarkStart w:id="320" w:name="_Toc35424907"/>
      <w:bookmarkStart w:id="321" w:name="_Toc247085708"/>
      <w:bookmarkStart w:id="322" w:name="_Toc31735"/>
      <w:bookmarkStart w:id="323" w:name="_Toc35425073"/>
      <w:bookmarkStart w:id="324" w:name="_Toc78803342"/>
      <w:bookmarkStart w:id="325" w:name="_Toc324404835"/>
      <w:bookmarkStart w:id="326" w:name="_Toc152042325"/>
      <w:bookmarkStart w:id="327" w:name="_Toc152045549"/>
      <w:bookmarkStart w:id="328" w:name="_Toc246996937"/>
      <w:bookmarkStart w:id="329" w:name="_Toc296602439"/>
      <w:bookmarkStart w:id="330" w:name="_Toc15058866"/>
      <w:bookmarkStart w:id="331" w:name="_Toc179632567"/>
      <w:bookmarkStart w:id="332" w:name="_Toc506107288"/>
      <w:bookmarkStart w:id="333" w:name="_Toc246996194"/>
      <w:r>
        <w:rPr>
          <w:rFonts w:hint="eastAsia" w:ascii="宋体" w:hAnsi="宋体" w:eastAsia="宋体" w:cs="宋体"/>
          <w:color w:val="auto"/>
          <w:szCs w:val="21"/>
          <w:highlight w:val="none"/>
        </w:rPr>
        <w:t>3.2.1投标报价应包括国家规定的增值税税金，除投标人须知前附表另有规定外，增值税税金按一般计税方法计算。投标人应按第</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章“投标文件格式”的要求在投标函中进行报价并填写工程量清单相应表格。</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3.2.2投标人应充分了解本项目的总体情况以及影响投标报价的其他要素。</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3.2.3投标人在投标截止时间前修改投标函中的投标报价总额，应同时修改“已标价工程量清单”中的相应报价，投标报价总额为各分项金额之和。此修改须符合本章第4.4款的有关要求。</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3.2.4招标人设有最高投标限价的，投标人的投标报价不得超过最高投标限价，最高投标限价在投标人须知前附表中载明。</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3.3 投标有效期</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除投标人须知前附表另有规定外，投标有效期为90天。</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3.3.2在投标有效期内，投标人撤销或修改其投标文件的，应承担招标文件和法律规定的责任。</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bookmarkStart w:id="334" w:name="_Toc144974518"/>
      <w:bookmarkStart w:id="335" w:name="_Toc296602440"/>
      <w:bookmarkStart w:id="336" w:name="_Toc246996195"/>
      <w:bookmarkStart w:id="337" w:name="_Toc152045550"/>
      <w:bookmarkStart w:id="338" w:name="_Toc78803343"/>
      <w:bookmarkStart w:id="339" w:name="_Toc324404836"/>
      <w:bookmarkStart w:id="340" w:name="_Toc179632568"/>
      <w:bookmarkStart w:id="341" w:name="_Toc506107289"/>
      <w:bookmarkStart w:id="342" w:name="_Toc35424908"/>
      <w:bookmarkStart w:id="343" w:name="_Toc15058867"/>
      <w:bookmarkStart w:id="344" w:name="_Toc10714"/>
      <w:bookmarkStart w:id="345" w:name="_Toc246996938"/>
      <w:bookmarkStart w:id="346" w:name="_Toc247085709"/>
      <w:bookmarkStart w:id="347" w:name="_Toc35425074"/>
      <w:bookmarkStart w:id="348" w:name="_Toc152042326"/>
      <w:r>
        <w:rPr>
          <w:rFonts w:hint="eastAsia" w:ascii="宋体" w:hAnsi="宋体" w:eastAsia="宋体" w:cs="宋体"/>
          <w:color w:val="auto"/>
          <w:highlight w:val="none"/>
        </w:rPr>
        <w:t>3.4 投标保证金</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本项目不采用</w:t>
      </w:r>
      <w:r>
        <w:rPr>
          <w:rFonts w:hint="eastAsia" w:ascii="宋体" w:hAnsi="宋体" w:eastAsia="宋体" w:cs="宋体"/>
          <w:color w:val="auto"/>
          <w:highlight w:val="none"/>
          <w:lang w:eastAsia="zh-CN"/>
        </w:rPr>
        <w:t>）</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 投标人须知前附表规定递交投标保证金的，投标人在递交投标文件的同时，应按投标人须知前附表规定的金额、担保形式规定的或者事先经过招标人认可的保证金格式递交保证金，并作为其投标文件的组成部分。联合体投标的，其投标保证金由牵头人递交，并应符合投标人须知前附表的规定。</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论采取何种形式的投标保证金，投标保证金有效期均应与投标有效期一致（采用保函的保证期截止时间不得早于该项目投标有效期的截止时间）。招标人如果按本章第3.3.3项的规定延长了投标有效期，则投标保证金的有效期也相应延长。</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投标人不按本章第3.4.1项要求提交投标保证金的，评标委员会将否决其投标。</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有下列情形之一的，投标保证金将不予退还： </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（1）投标截止后投标人撤销投标文件的；</w:t>
      </w:r>
    </w:p>
    <w:p>
      <w:pPr>
        <w:pageBreakBefore w:val="0"/>
        <w:widowControl w:val="0"/>
        <w:kinsoku/>
        <w:wordWrap/>
        <w:overflowPunct/>
        <w:topLinePunct w:val="0"/>
        <w:autoSpaceDE/>
        <w:autoSpaceDN/>
        <w:bidi w:val="0"/>
        <w:spacing w:line="420" w:lineRule="exact"/>
        <w:ind w:firstLine="420" w:firstLineChars="200"/>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（2）中标人无正当理由不与招标人订立合同，在签订合同时向招标人提出附加条件，或者不按照招标文件要求提交履约保证金的。</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49" w:name="_Toc324404837"/>
      <w:bookmarkStart w:id="350" w:name="_Toc35424909"/>
      <w:bookmarkStart w:id="351" w:name="_Toc296602442"/>
      <w:bookmarkStart w:id="352" w:name="_Toc15058868"/>
      <w:bookmarkStart w:id="353" w:name="_Toc78803344"/>
      <w:bookmarkStart w:id="354" w:name="_Toc35425075"/>
      <w:bookmarkStart w:id="355" w:name="_Toc19037"/>
      <w:bookmarkStart w:id="356" w:name="_Toc506107290"/>
      <w:bookmarkStart w:id="357" w:name="_Toc152042329"/>
      <w:bookmarkStart w:id="358" w:name="_Toc246996940"/>
      <w:bookmarkStart w:id="359" w:name="_Toc152045553"/>
      <w:bookmarkStart w:id="360" w:name="_Toc247085711"/>
      <w:bookmarkStart w:id="361" w:name="_Toc144974521"/>
      <w:bookmarkStart w:id="362" w:name="_Toc246996197"/>
      <w:bookmarkStart w:id="363" w:name="_Toc179632571"/>
      <w:r>
        <w:rPr>
          <w:rFonts w:hint="eastAsia" w:ascii="宋体" w:hAnsi="宋体" w:eastAsia="宋体" w:cs="宋体"/>
          <w:color w:val="auto"/>
          <w:highlight w:val="none"/>
        </w:rPr>
        <w:t>3.5投标文件的编制</w:t>
      </w:r>
      <w:bookmarkEnd w:id="349"/>
      <w:bookmarkEnd w:id="350"/>
      <w:bookmarkEnd w:id="351"/>
      <w:bookmarkEnd w:id="352"/>
      <w:bookmarkEnd w:id="353"/>
      <w:bookmarkEnd w:id="354"/>
      <w:bookmarkEnd w:id="355"/>
      <w:bookmarkEnd w:id="356"/>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3.5.1投标文件应按第</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章“投标文件格式”进行编写，如有必要，可以增加附页，作为投标文件的组成部分。其中，投标函在满足招标文件实质性要求的基础上，可以提出比招标文件要求更有利于招标人的承诺。施工组织设计编制的特殊要求见投标人须知前附表。</w:t>
      </w:r>
    </w:p>
    <w:bookmarkEnd w:id="357"/>
    <w:bookmarkEnd w:id="358"/>
    <w:bookmarkEnd w:id="359"/>
    <w:bookmarkEnd w:id="360"/>
    <w:bookmarkEnd w:id="361"/>
    <w:bookmarkEnd w:id="362"/>
    <w:bookmarkEnd w:id="363"/>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bookmarkStart w:id="364" w:name="_Toc246996942"/>
      <w:bookmarkStart w:id="365" w:name="_Toc246996199"/>
      <w:bookmarkStart w:id="366" w:name="_Toc324404838"/>
      <w:bookmarkStart w:id="367" w:name="_Toc179632573"/>
      <w:bookmarkStart w:id="368" w:name="_Toc152045555"/>
      <w:bookmarkStart w:id="369" w:name="_Toc247085713"/>
      <w:bookmarkStart w:id="370" w:name="_Toc152042331"/>
      <w:bookmarkStart w:id="371" w:name="_Toc144974523"/>
      <w:r>
        <w:rPr>
          <w:rFonts w:hint="eastAsia" w:ascii="宋体" w:hAnsi="宋体" w:eastAsia="宋体" w:cs="宋体"/>
          <w:color w:val="auto"/>
          <w:szCs w:val="21"/>
          <w:highlight w:val="none"/>
        </w:rPr>
        <w:t>3.5.2本次投标不需要提供纸质投标文件，投标人应按照</w:t>
      </w:r>
      <w:r>
        <w:rPr>
          <w:rFonts w:hint="eastAsia" w:ascii="宋体" w:hAnsi="宋体" w:eastAsia="宋体" w:cs="宋体"/>
          <w:color w:val="auto"/>
          <w:szCs w:val="21"/>
          <w:highlight w:val="none"/>
          <w:lang w:val="en-US" w:eastAsia="zh-CN"/>
        </w:rPr>
        <w:t>招标文件</w:t>
      </w:r>
      <w:r>
        <w:rPr>
          <w:rFonts w:hint="eastAsia" w:ascii="宋体" w:hAnsi="宋体" w:eastAsia="宋体" w:cs="宋体"/>
          <w:color w:val="auto"/>
          <w:szCs w:val="21"/>
          <w:highlight w:val="none"/>
        </w:rPr>
        <w:t>的要求，制作、签章、</w:t>
      </w:r>
      <w:r>
        <w:rPr>
          <w:rFonts w:hint="eastAsia" w:ascii="宋体" w:hAnsi="宋体" w:eastAsia="宋体" w:cs="宋体"/>
          <w:color w:val="auto"/>
          <w:szCs w:val="21"/>
          <w:highlight w:val="none"/>
          <w:lang w:val="en-US" w:eastAsia="zh-CN"/>
        </w:rPr>
        <w:t>发送</w:t>
      </w:r>
      <w:r>
        <w:rPr>
          <w:rFonts w:hint="eastAsia" w:ascii="宋体" w:hAnsi="宋体" w:eastAsia="宋体" w:cs="宋体"/>
          <w:color w:val="auto"/>
          <w:szCs w:val="21"/>
          <w:highlight w:val="none"/>
        </w:rPr>
        <w:t>加密的电子投标文件。</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3.5.3投标文件应当对招标文件有关工期、投标有效期、质量要求、技术标准和要求、招标范围等实质性内容作出响应。</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招标人有权核查投标人在投标文件中提供的资料，若在评标期间发现投标人提供了虚假资料，其投标将被否决；若在签订合同前发现作为中标候选人的投标人提供了虚假资料，招标人有权取消其中标资格；如果签订合同后发现中标人提供了虚假材料，招标人有权解除合同。同时招标人将投标人上述弄虚作假行为上报</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部门处理。</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投标文件的制作应满足以下规定：</w:t>
      </w:r>
    </w:p>
    <w:p>
      <w:pPr>
        <w:pageBreakBefore w:val="0"/>
        <w:widowControl w:val="0"/>
        <w:numPr>
          <w:ilvl w:val="0"/>
          <w:numId w:val="3"/>
        </w:numPr>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招标文件中“签章”是指签字或盖章。在第</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章“投标文件格式”中要求签章处，投标人应加盖投标人单位电子印章和法定代表人的个人电子印章/电子签名章或直接上传加盖投标人单位印章和法定代表人的印章（或签字）的原件扫描件。</w:t>
      </w:r>
    </w:p>
    <w:p>
      <w:pPr>
        <w:pageBreakBefore w:val="0"/>
        <w:widowControl w:val="0"/>
        <w:numPr>
          <w:ilvl w:val="0"/>
          <w:numId w:val="3"/>
        </w:numPr>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投标人应对投标文件进行加密，形成加密的投标文件。</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因投标人自身原因而导致投标文件无法</w:t>
      </w:r>
      <w:r>
        <w:rPr>
          <w:rFonts w:hint="eastAsia" w:ascii="宋体" w:hAnsi="宋体" w:eastAsia="宋体" w:cs="宋体"/>
          <w:color w:val="auto"/>
          <w:szCs w:val="21"/>
          <w:highlight w:val="none"/>
          <w:lang w:val="en-US" w:eastAsia="zh-CN"/>
        </w:rPr>
        <w:t>打开、读取</w:t>
      </w:r>
      <w:r>
        <w:rPr>
          <w:rFonts w:hint="eastAsia" w:ascii="宋体" w:hAnsi="宋体" w:eastAsia="宋体" w:cs="宋体"/>
          <w:color w:val="auto"/>
          <w:szCs w:val="21"/>
          <w:highlight w:val="none"/>
        </w:rPr>
        <w:t>，该投标视为无效投标，投标人自行承担由此导致的全部责任。</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投标人中标后须递交与网上电子投标文件完全一致的纸质版投标文件，在领取中标通知书时，一并递交给招标代理机构</w:t>
      </w:r>
      <w:r>
        <w:rPr>
          <w:rFonts w:hint="eastAsia" w:ascii="宋体" w:hAnsi="宋体" w:eastAsia="宋体" w:cs="宋体"/>
          <w:color w:val="auto"/>
          <w:szCs w:val="21"/>
          <w:highlight w:val="none"/>
          <w:lang w:eastAsia="zh-CN"/>
        </w:rPr>
        <w:t>。</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3.6 备选投标方案</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3.6.1除投标人须知前附表规定允许外，投标人不得递交备选投标方案，否则其投标将被否决。</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3.6.2允许投标人递交备选投标方案的，只有中标人所递交的备选投标方案方可予以考虑。评标委员会认为中标人的备选投标方案优于其按照招标文件要求编制的投标方案的，招标人可以接受该备选投标方案。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3.6.3投标人提供两个或两个以上投标报价，或在投标文件中提供一个报价，但同时提供两个或两个以上施工组织设计的，视为提供备选方案。</w:t>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372" w:name="_Toc35424910"/>
      <w:bookmarkStart w:id="373" w:name="_Toc506107291"/>
      <w:bookmarkStart w:id="374" w:name="_Toc78803345"/>
      <w:bookmarkStart w:id="375" w:name="_Toc15058869"/>
      <w:bookmarkStart w:id="376" w:name="_Toc35425076"/>
      <w:bookmarkStart w:id="377" w:name="_Toc19455"/>
      <w:r>
        <w:rPr>
          <w:rFonts w:hint="eastAsia" w:ascii="宋体" w:hAnsi="宋体" w:eastAsia="宋体" w:cs="宋体"/>
          <w:color w:val="auto"/>
          <w:sz w:val="24"/>
          <w:szCs w:val="24"/>
          <w:highlight w:val="none"/>
        </w:rPr>
        <w:t>4.投标</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pPr>
        <w:pStyle w:val="4"/>
        <w:pageBreakBefore w:val="0"/>
        <w:widowControl w:val="0"/>
        <w:kinsoku/>
        <w:wordWrap/>
        <w:overflowPunct/>
        <w:topLinePunct w:val="0"/>
        <w:autoSpaceDE/>
        <w:autoSpaceDN/>
        <w:bidi w:val="0"/>
        <w:spacing w:line="420" w:lineRule="exact"/>
        <w:ind w:firstLine="422" w:firstLineChars="200"/>
        <w:textAlignment w:val="auto"/>
        <w:rPr>
          <w:rFonts w:hint="default" w:ascii="宋体" w:hAnsi="宋体" w:eastAsia="宋体" w:cs="宋体"/>
          <w:color w:val="auto"/>
          <w:highlight w:val="none"/>
          <w:lang w:val="en-US" w:eastAsia="zh-CN"/>
        </w:rPr>
      </w:pPr>
      <w:bookmarkStart w:id="378" w:name="_Toc14473"/>
      <w:bookmarkStart w:id="379" w:name="_Toc35425077"/>
      <w:bookmarkStart w:id="380" w:name="_Toc78803346"/>
      <w:bookmarkStart w:id="381" w:name="_Toc35424911"/>
      <w:bookmarkStart w:id="382" w:name="_Toc15058870"/>
      <w:r>
        <w:rPr>
          <w:rFonts w:hint="eastAsia" w:ascii="宋体" w:hAnsi="宋体" w:eastAsia="宋体" w:cs="宋体"/>
          <w:color w:val="auto"/>
          <w:highlight w:val="none"/>
        </w:rPr>
        <w:t>4.1投标文件</w:t>
      </w:r>
      <w:bookmarkEnd w:id="378"/>
      <w:bookmarkEnd w:id="379"/>
      <w:bookmarkEnd w:id="380"/>
      <w:bookmarkEnd w:id="381"/>
      <w:bookmarkEnd w:id="382"/>
      <w:r>
        <w:rPr>
          <w:rFonts w:hint="eastAsia" w:ascii="宋体" w:hAnsi="宋体" w:eastAsia="宋体" w:cs="宋体"/>
          <w:color w:val="auto"/>
          <w:highlight w:val="none"/>
          <w:lang w:val="en-US" w:eastAsia="zh-CN"/>
        </w:rPr>
        <w:t>的提交</w:t>
      </w:r>
    </w:p>
    <w:p>
      <w:pPr>
        <w:keepNext w:val="0"/>
        <w:keepLines w:val="0"/>
        <w:pageBreakBefore w:val="0"/>
        <w:widowControl w:val="0"/>
        <w:kinsoku/>
        <w:wordWrap w:val="0"/>
        <w:overflowPunct/>
        <w:topLinePunct w:val="0"/>
        <w:autoSpaceDE/>
        <w:autoSpaceDN/>
        <w:bidi w:val="0"/>
        <w:adjustRightInd/>
        <w:snapToGrid/>
        <w:spacing w:line="42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4.1.1</w:t>
      </w:r>
      <w:r>
        <w:rPr>
          <w:rFonts w:hint="eastAsia" w:ascii="宋体" w:hAnsi="宋体" w:eastAsia="宋体" w:cs="宋体"/>
          <w:color w:val="auto"/>
          <w:szCs w:val="21"/>
          <w:highlight w:val="none"/>
          <w:lang w:val="en-US" w:eastAsia="zh-CN"/>
        </w:rPr>
        <w:t>各投标人须在投标文件截止时间前（202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mailto:日14时00分前）将投标文件以电子邮件的方式一次性发送至czsctgczx@163.com（滁州市城投工程咨询管理有限公司邮箱），投标文件格式限定为加密PDF格式，将文件命名为\“投标单位名称+项目名称\”，未在规定时间内发送加密PDF格式投标文件，投标将被拒绝，投标文件送达时间以滁州市城投工程咨询管理有限公司邮箱显示的邮件送达时间为准，若投标人重复发送电子投标文件的，将以2022年"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前）将投标文件以电子邮件的方式一次性发送至czsctgczx@163.com（滁州市城投工程咨询管理有限公司邮箱），投标文件格式限定为加密PDF格式，将文件命名为“投标单位名称+项目名称+联系人及联系电话”，未在规定时间内发送加密PDF格式投标文件，投标将被拒绝，投标文件送达时间以滁州市城投工程咨询管理有限公司邮箱显示的邮件送达时间为准，若投标人重复发送电子投标文件的，将以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w:t>
      </w:r>
      <w:r>
        <w:rPr>
          <w:rFonts w:hint="eastAsia" w:ascii="宋体" w:hAnsi="宋体" w:eastAsia="宋体" w:cs="宋体"/>
          <w:color w:val="auto"/>
          <w:szCs w:val="21"/>
          <w:highlight w:val="none"/>
          <w:lang w:val="en-US" w:eastAsia="zh-CN"/>
        </w:rPr>
        <w:fldChar w:fldCharType="end"/>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0分前最后收到的投标文件为准,投标文件无法打开的，由投标人自行承担后果。</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4.1.2各投标人在202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0分至202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"mailto:时30分内将投标文件的密码（投标单位名称+密码）发送至czsctgczx@163.com（滁州市城投工程咨询管理有限公司邮箱）。未在规定时间内发送密码的，投标将被拒绝。"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0分内将投标文件的密码（投标单位名称+密码）发送至czsctgczx@163.com（滁州市城投工程咨询管理有限公司邮箱）。未在规定时间内发送密码的，投标将被拒绝。</w:t>
      </w:r>
      <w:r>
        <w:rPr>
          <w:rFonts w:hint="eastAsia" w:ascii="宋体" w:hAnsi="宋体" w:eastAsia="宋体" w:cs="宋体"/>
          <w:color w:val="auto"/>
          <w:szCs w:val="21"/>
          <w:highlight w:val="none"/>
          <w:lang w:val="en-US" w:eastAsia="zh-CN"/>
        </w:rPr>
        <w:fldChar w:fldCharType="end"/>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83" w:name="_Toc506107294"/>
      <w:bookmarkStart w:id="384" w:name="_Toc35425080"/>
      <w:bookmarkStart w:id="385" w:name="_Toc247085716"/>
      <w:bookmarkStart w:id="386" w:name="_Toc78803347"/>
      <w:bookmarkStart w:id="387" w:name="_Toc35424914"/>
      <w:bookmarkStart w:id="388" w:name="_Toc324404841"/>
      <w:bookmarkStart w:id="389" w:name="_Toc296602446"/>
      <w:bookmarkStart w:id="390" w:name="_Toc15058873"/>
      <w:bookmarkStart w:id="391" w:name="_Toc246996202"/>
      <w:bookmarkStart w:id="392" w:name="_Toc152045558"/>
      <w:bookmarkStart w:id="393" w:name="_Toc152042334"/>
      <w:bookmarkStart w:id="394" w:name="_Toc19572"/>
      <w:bookmarkStart w:id="395" w:name="_Toc144974526"/>
      <w:bookmarkStart w:id="396" w:name="_Toc246996945"/>
      <w:bookmarkStart w:id="397" w:name="_Toc179632576"/>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投标文件的修改与撤回</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pageBreakBefore w:val="0"/>
        <w:widowControl w:val="0"/>
        <w:kinsoku/>
        <w:wordWrap/>
        <w:overflowPunct/>
        <w:topLinePunct w:val="0"/>
        <w:autoSpaceDE/>
        <w:autoSpaceDN/>
        <w:bidi w:val="0"/>
        <w:spacing w:line="420" w:lineRule="exact"/>
        <w:ind w:firstLine="422" w:firstLineChars="200"/>
        <w:jc w:val="left"/>
        <w:textAlignment w:val="auto"/>
        <w:rPr>
          <w:rFonts w:ascii="宋体" w:hAnsi="宋体" w:cs="宋体"/>
          <w:color w:val="auto"/>
          <w:szCs w:val="21"/>
          <w:highlight w:val="none"/>
        </w:rPr>
      </w:pPr>
      <w:r>
        <w:rPr>
          <w:rFonts w:hint="eastAsia" w:ascii="宋体" w:hAnsi="宋体" w:cs="宋体"/>
          <w:b/>
          <w:color w:val="auto"/>
          <w:szCs w:val="21"/>
          <w:highlight w:val="none"/>
        </w:rPr>
        <w:t>4.</w:t>
      </w:r>
      <w:r>
        <w:rPr>
          <w:rFonts w:hint="eastAsia" w:ascii="宋体" w:hAnsi="宋体" w:cs="宋体"/>
          <w:b/>
          <w:color w:val="auto"/>
          <w:szCs w:val="21"/>
          <w:highlight w:val="none"/>
          <w:lang w:val="en-US" w:eastAsia="zh-CN"/>
        </w:rPr>
        <w:t>2</w:t>
      </w:r>
      <w:r>
        <w:rPr>
          <w:rFonts w:hint="eastAsia" w:ascii="宋体" w:hAnsi="宋体" w:cs="宋体"/>
          <w:b/>
          <w:color w:val="auto"/>
          <w:szCs w:val="21"/>
          <w:highlight w:val="none"/>
        </w:rPr>
        <w:t>.1 在规定的投标截止时间前，投标人可以自行从</w:t>
      </w:r>
      <w:r>
        <w:rPr>
          <w:rFonts w:hint="eastAsia" w:ascii="宋体" w:hAnsi="宋体" w:cs="宋体"/>
          <w:b/>
          <w:color w:val="auto"/>
          <w:szCs w:val="21"/>
          <w:highlight w:val="none"/>
          <w:lang w:val="en-US" w:eastAsia="zh-CN"/>
        </w:rPr>
        <w:t>邮箱</w:t>
      </w:r>
      <w:r>
        <w:rPr>
          <w:rFonts w:hint="eastAsia" w:ascii="宋体" w:hAnsi="宋体" w:cs="宋体"/>
          <w:b/>
          <w:color w:val="auto"/>
          <w:szCs w:val="21"/>
          <w:highlight w:val="none"/>
        </w:rPr>
        <w:t>撤回已递交的投标文件，并可修改后重新上传，开标时以投标截止时间前投标人最终上传的投标文件为准。</w:t>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398" w:name="_Toc152042335"/>
      <w:bookmarkStart w:id="399" w:name="_Toc29639"/>
      <w:bookmarkStart w:id="400" w:name="_Toc144974527"/>
      <w:bookmarkStart w:id="401" w:name="_Toc246996946"/>
      <w:bookmarkStart w:id="402" w:name="_Toc246996203"/>
      <w:bookmarkStart w:id="403" w:name="_Toc15058874"/>
      <w:bookmarkStart w:id="404" w:name="_Toc506107295"/>
      <w:bookmarkStart w:id="405" w:name="_Toc35424915"/>
      <w:bookmarkStart w:id="406" w:name="_Toc35425081"/>
      <w:bookmarkStart w:id="407" w:name="_Toc179632577"/>
      <w:bookmarkStart w:id="408" w:name="_Toc324404842"/>
      <w:bookmarkStart w:id="409" w:name="_Toc152045559"/>
      <w:bookmarkStart w:id="410" w:name="_Toc247085717"/>
      <w:bookmarkStart w:id="411" w:name="_Toc78803348"/>
      <w:r>
        <w:rPr>
          <w:rFonts w:hint="eastAsia" w:ascii="宋体" w:hAnsi="宋体" w:eastAsia="宋体" w:cs="宋体"/>
          <w:color w:val="auto"/>
          <w:sz w:val="24"/>
          <w:szCs w:val="24"/>
          <w:highlight w:val="none"/>
        </w:rPr>
        <w:t>5. 开标</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12" w:name="_Toc152042336"/>
      <w:bookmarkStart w:id="413" w:name="_Toc15058875"/>
      <w:bookmarkStart w:id="414" w:name="_Toc35425082"/>
      <w:bookmarkStart w:id="415" w:name="_Toc179632578"/>
      <w:bookmarkStart w:id="416" w:name="_Toc324404843"/>
      <w:bookmarkStart w:id="417" w:name="_Toc247085718"/>
      <w:bookmarkStart w:id="418" w:name="_Toc246996947"/>
      <w:bookmarkStart w:id="419" w:name="_Toc144974528"/>
      <w:bookmarkStart w:id="420" w:name="_Toc506107296"/>
      <w:bookmarkStart w:id="421" w:name="_Toc13691"/>
      <w:bookmarkStart w:id="422" w:name="_Toc246996204"/>
      <w:bookmarkStart w:id="423" w:name="_Toc152045560"/>
      <w:bookmarkStart w:id="424" w:name="_Toc296602448"/>
      <w:bookmarkStart w:id="425" w:name="_Toc78803349"/>
      <w:bookmarkStart w:id="426" w:name="_Toc35424916"/>
      <w:r>
        <w:rPr>
          <w:rFonts w:hint="eastAsia" w:ascii="宋体" w:hAnsi="宋体" w:eastAsia="宋体" w:cs="宋体"/>
          <w:color w:val="auto"/>
          <w:highlight w:val="none"/>
        </w:rPr>
        <w:t>5.1 开标时间和地点</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招标人在投标人须知前附表规定的投标截止时间（开标时间）和地点公开开标。</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27" w:name="_Toc506107297"/>
      <w:bookmarkStart w:id="428" w:name="_Toc246996948"/>
      <w:bookmarkStart w:id="429" w:name="_Toc78803350"/>
      <w:bookmarkStart w:id="430" w:name="_Toc35424917"/>
      <w:bookmarkStart w:id="431" w:name="_Toc247085719"/>
      <w:bookmarkStart w:id="432" w:name="_Toc32451"/>
      <w:bookmarkStart w:id="433" w:name="_Toc179632579"/>
      <w:bookmarkStart w:id="434" w:name="_Toc144974529"/>
      <w:bookmarkStart w:id="435" w:name="_Toc152045561"/>
      <w:bookmarkStart w:id="436" w:name="_Toc324404844"/>
      <w:bookmarkStart w:id="437" w:name="_Toc15058876"/>
      <w:bookmarkStart w:id="438" w:name="_Toc246996205"/>
      <w:bookmarkStart w:id="439" w:name="_Toc35425083"/>
      <w:bookmarkStart w:id="440" w:name="_Toc152042337"/>
      <w:bookmarkStart w:id="441" w:name="_Toc296602449"/>
      <w:r>
        <w:rPr>
          <w:rFonts w:hint="eastAsia" w:ascii="宋体" w:hAnsi="宋体" w:eastAsia="宋体" w:cs="宋体"/>
          <w:color w:val="auto"/>
          <w:highlight w:val="none"/>
        </w:rPr>
        <w:t>5.2 开标程序</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主持人按下列程序进行开标：</w:t>
      </w:r>
      <w:bookmarkStart w:id="442" w:name="_Toc324404845"/>
      <w:bookmarkStart w:id="443" w:name="_Toc296602450"/>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44" w:name="_Toc15058877"/>
      <w:bookmarkStart w:id="445" w:name="_Toc506107298"/>
      <w:r>
        <w:rPr>
          <w:rFonts w:hint="eastAsia" w:ascii="宋体" w:hAnsi="宋体" w:cs="宋体"/>
          <w:color w:val="auto"/>
          <w:szCs w:val="21"/>
          <w:highlight w:val="none"/>
        </w:rPr>
        <w:t>（1）宣布开标纪律；</w:t>
      </w:r>
      <w:bookmarkEnd w:id="444"/>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46" w:name="_Toc15058878"/>
      <w:r>
        <w:rPr>
          <w:rFonts w:hint="eastAsia" w:ascii="宋体" w:hAnsi="宋体" w:cs="宋体"/>
          <w:color w:val="auto"/>
          <w:szCs w:val="21"/>
          <w:highlight w:val="none"/>
        </w:rPr>
        <w:t>（2）宣布招标人、代理机构主持人等有关人员姓名；</w:t>
      </w:r>
      <w:bookmarkEnd w:id="446"/>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47" w:name="_Toc15058881"/>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）公布投标人投标报价、质量目标、工期及其他内容，并记录在案；</w:t>
      </w:r>
      <w:bookmarkEnd w:id="44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48" w:name="_Toc15058882"/>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）开标结束。</w:t>
      </w:r>
      <w:bookmarkEnd w:id="448"/>
    </w:p>
    <w:bookmarkEnd w:id="442"/>
    <w:bookmarkEnd w:id="443"/>
    <w:bookmarkEnd w:id="445"/>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449" w:name="_Toc247085720"/>
      <w:bookmarkStart w:id="450" w:name="_Toc35424919"/>
      <w:bookmarkStart w:id="451" w:name="_Toc506107299"/>
      <w:bookmarkStart w:id="452" w:name="_Toc246996949"/>
      <w:bookmarkStart w:id="453" w:name="_Toc78803352"/>
      <w:bookmarkStart w:id="454" w:name="_Toc179632580"/>
      <w:bookmarkStart w:id="455" w:name="_Toc20689"/>
      <w:bookmarkStart w:id="456" w:name="_Toc324404846"/>
      <w:bookmarkStart w:id="457" w:name="_Toc246996206"/>
      <w:bookmarkStart w:id="458" w:name="_Toc152042338"/>
      <w:bookmarkStart w:id="459" w:name="_Toc15058884"/>
      <w:bookmarkStart w:id="460" w:name="_Toc35425085"/>
      <w:bookmarkStart w:id="461" w:name="_Toc152045562"/>
      <w:bookmarkStart w:id="462" w:name="_Toc144974530"/>
      <w:r>
        <w:rPr>
          <w:rFonts w:hint="eastAsia" w:ascii="宋体" w:hAnsi="宋体" w:eastAsia="宋体" w:cs="宋体"/>
          <w:color w:val="auto"/>
          <w:sz w:val="24"/>
          <w:szCs w:val="24"/>
          <w:highlight w:val="none"/>
        </w:rPr>
        <w:t>6. 评标</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63" w:name="_Toc35425086"/>
      <w:bookmarkStart w:id="464" w:name="_Toc247085721"/>
      <w:bookmarkStart w:id="465" w:name="_Toc246996207"/>
      <w:bookmarkStart w:id="466" w:name="_Toc14249"/>
      <w:bookmarkStart w:id="467" w:name="_Toc506107300"/>
      <w:bookmarkStart w:id="468" w:name="_Toc152045563"/>
      <w:bookmarkStart w:id="469" w:name="_Toc35424920"/>
      <w:bookmarkStart w:id="470" w:name="_Toc324404847"/>
      <w:bookmarkStart w:id="471" w:name="_Toc152042339"/>
      <w:bookmarkStart w:id="472" w:name="_Toc246996950"/>
      <w:bookmarkStart w:id="473" w:name="_Toc296602452"/>
      <w:bookmarkStart w:id="474" w:name="_Toc78803353"/>
      <w:bookmarkStart w:id="475" w:name="_Toc179632581"/>
      <w:bookmarkStart w:id="476" w:name="_Toc15058885"/>
      <w:bookmarkStart w:id="477" w:name="_Toc144974531"/>
      <w:r>
        <w:rPr>
          <w:rFonts w:hint="eastAsia" w:ascii="宋体" w:hAnsi="宋体" w:eastAsia="宋体" w:cs="宋体"/>
          <w:color w:val="auto"/>
          <w:highlight w:val="none"/>
        </w:rPr>
        <w:t>6.1 评标委员会</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6.1.1 评标由招标人依法组建的评标委员会负责。评标委员会由招标人或其委托的招标代理机构熟悉相关业务的代表，以及有关技术、经济等方面的专家组成。</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6.1.2 评标委员会成员有下列情形之一的，应当回避：</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（1）投标人或投标人主要负责人的近亲属；</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（2）项目主管部门或者行政监督部门的人员；</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（3）与投标人有经济利益关系；</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（4）曾因在招标、评标以及其他与招标投标有关活动中从事违法行为而受过行政处罚或刑事处罚的；</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（5）与投标人有其他利害关系。</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6.1.3评标过程中，评标委员会成员有回避事由、擅离职守或因健康等原因不能继续评标的， 招标人有权更换。被更换的评标委员会成员作出的评审结论无效，由更换后的评标委员会成员重新进行评审。</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78" w:name="_Toc246996208"/>
      <w:bookmarkStart w:id="479" w:name="_Toc35425087"/>
      <w:bookmarkStart w:id="480" w:name="_Toc152045564"/>
      <w:bookmarkStart w:id="481" w:name="_Toc324404848"/>
      <w:bookmarkStart w:id="482" w:name="_Toc296602453"/>
      <w:bookmarkStart w:id="483" w:name="_Toc179632582"/>
      <w:bookmarkStart w:id="484" w:name="_Toc12948"/>
      <w:bookmarkStart w:id="485" w:name="_Toc144974532"/>
      <w:bookmarkStart w:id="486" w:name="_Toc152042340"/>
      <w:bookmarkStart w:id="487" w:name="_Toc78803354"/>
      <w:bookmarkStart w:id="488" w:name="_Toc506107301"/>
      <w:bookmarkStart w:id="489" w:name="_Toc15058886"/>
      <w:bookmarkStart w:id="490" w:name="_Toc35424921"/>
      <w:bookmarkStart w:id="491" w:name="_Toc247085722"/>
      <w:bookmarkStart w:id="492" w:name="_Toc246996951"/>
      <w:r>
        <w:rPr>
          <w:rFonts w:hint="eastAsia" w:ascii="宋体" w:hAnsi="宋体" w:eastAsia="宋体" w:cs="宋体"/>
          <w:color w:val="auto"/>
          <w:highlight w:val="none"/>
        </w:rPr>
        <w:t>6.2 评标原则</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评标活动遵循公平、公正、科学和择优的原则。</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93" w:name="_Toc35425088"/>
      <w:bookmarkStart w:id="494" w:name="_Toc246996952"/>
      <w:bookmarkStart w:id="495" w:name="_Toc296602454"/>
      <w:bookmarkStart w:id="496" w:name="_Toc35424922"/>
      <w:bookmarkStart w:id="497" w:name="_Toc152042341"/>
      <w:bookmarkStart w:id="498" w:name="_Toc179632583"/>
      <w:bookmarkStart w:id="499" w:name="_Toc246996209"/>
      <w:bookmarkStart w:id="500" w:name="_Toc506107302"/>
      <w:bookmarkStart w:id="501" w:name="_Toc247085723"/>
      <w:bookmarkStart w:id="502" w:name="_Toc144974533"/>
      <w:bookmarkStart w:id="503" w:name="_Toc152045565"/>
      <w:bookmarkStart w:id="504" w:name="_Toc15058887"/>
      <w:bookmarkStart w:id="505" w:name="_Toc78803355"/>
      <w:bookmarkStart w:id="506" w:name="_Toc14892"/>
      <w:bookmarkStart w:id="507" w:name="_Toc324404849"/>
      <w:r>
        <w:rPr>
          <w:rFonts w:hint="eastAsia" w:ascii="宋体" w:hAnsi="宋体" w:eastAsia="宋体" w:cs="宋体"/>
          <w:color w:val="auto"/>
          <w:highlight w:val="none"/>
        </w:rPr>
        <w:t>6.3 评标</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508" w:name="_Toc144974534"/>
      <w:bookmarkStart w:id="509" w:name="_Toc246996953"/>
      <w:bookmarkStart w:id="510" w:name="_Toc324404850"/>
      <w:bookmarkStart w:id="511" w:name="_Toc179632584"/>
      <w:bookmarkStart w:id="512" w:name="_Toc152045566"/>
      <w:bookmarkStart w:id="513" w:name="_Toc246996210"/>
      <w:bookmarkStart w:id="514" w:name="_Toc247085724"/>
      <w:bookmarkStart w:id="515" w:name="_Toc152042342"/>
      <w:r>
        <w:rPr>
          <w:rFonts w:hint="eastAsia" w:ascii="宋体" w:hAnsi="宋体" w:cs="宋体"/>
          <w:color w:val="auto"/>
          <w:szCs w:val="21"/>
          <w:highlight w:val="none"/>
        </w:rPr>
        <w:t>6.3.1评标委员会按照第三章“评标办法”规定的方法、评审因素、标准和程序对投标文件进行评审。第三章“评标办法”没有规定的方法、评审因素和标准，不作为评标依据。</w:t>
      </w:r>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6.3.2评标完成后，评标委员会应向招标人提交书面评标报告和中标候选人名单。评标委员会推荐中标候选人的人数见投标人须知前附表。</w:t>
      </w:r>
    </w:p>
    <w:p>
      <w:pPr>
        <w:pStyle w:val="4"/>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516" w:name="_Toc35424923"/>
      <w:bookmarkStart w:id="517" w:name="_Toc15058888"/>
      <w:bookmarkStart w:id="518" w:name="_Toc26182"/>
      <w:bookmarkStart w:id="519" w:name="_Toc35425089"/>
      <w:bookmarkStart w:id="520" w:name="_Toc506107303"/>
      <w:bookmarkStart w:id="521" w:name="_Toc78803356"/>
      <w:r>
        <w:rPr>
          <w:rFonts w:hint="eastAsia" w:ascii="宋体" w:hAnsi="宋体" w:eastAsia="宋体" w:cs="宋体"/>
          <w:color w:val="auto"/>
          <w:sz w:val="24"/>
          <w:szCs w:val="24"/>
          <w:highlight w:val="none"/>
        </w:rPr>
        <w:t>7. 合同授予</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22" w:name="_Toc83301726"/>
      <w:bookmarkStart w:id="523" w:name="_Toc15058890"/>
      <w:bookmarkStart w:id="524" w:name="_Toc506107305"/>
      <w:bookmarkStart w:id="525" w:name="_Toc60061472"/>
      <w:bookmarkStart w:id="526" w:name="_Toc95223374"/>
      <w:bookmarkStart w:id="527" w:name="_Toc324404852"/>
      <w:bookmarkStart w:id="528" w:name="_Toc296602457"/>
      <w:bookmarkStart w:id="529" w:name="_Toc4204"/>
      <w:bookmarkStart w:id="530" w:name="_Toc35425093"/>
      <w:bookmarkStart w:id="531" w:name="_Toc247085726"/>
      <w:bookmarkStart w:id="532" w:name="_Toc78803360"/>
      <w:bookmarkStart w:id="533" w:name="_Toc246996955"/>
      <w:bookmarkStart w:id="534" w:name="_Toc179632586"/>
      <w:bookmarkStart w:id="535" w:name="_Toc14692"/>
      <w:bookmarkStart w:id="536" w:name="_Toc152045568"/>
      <w:bookmarkStart w:id="537" w:name="_Toc152042344"/>
      <w:bookmarkStart w:id="538" w:name="_Toc506107306"/>
      <w:bookmarkStart w:id="539" w:name="_Toc324404853"/>
      <w:bookmarkStart w:id="540" w:name="_Toc15058891"/>
      <w:bookmarkStart w:id="541" w:name="_Toc35424927"/>
      <w:bookmarkStart w:id="542" w:name="_Toc296602458"/>
      <w:bookmarkStart w:id="543" w:name="_Toc246996212"/>
      <w:bookmarkStart w:id="544" w:name="_Toc144974536"/>
      <w:r>
        <w:rPr>
          <w:rFonts w:hint="eastAsia" w:ascii="宋体" w:hAnsi="宋体" w:eastAsia="宋体" w:cs="宋体"/>
          <w:color w:val="auto"/>
          <w:highlight w:val="none"/>
        </w:rPr>
        <w:t>7.1 中标候选人公示</w:t>
      </w:r>
      <w:bookmarkEnd w:id="522"/>
      <w:bookmarkEnd w:id="523"/>
      <w:bookmarkEnd w:id="524"/>
      <w:bookmarkEnd w:id="525"/>
      <w:bookmarkEnd w:id="526"/>
      <w:bookmarkEnd w:id="527"/>
      <w:bookmarkEnd w:id="528"/>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招标人在收到评标报告之日起3日内，按照投标人须知前附表规定的公示媒介和期限依法公示。中标候选人公示期不得少于3日。</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7.2 评标结果异议</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投标人或其他利害关系人对评标结果有异议的，应在中标候选人公示期内提出。招标人将在收到异议之日起3日内作出答复；作出答复前，将暂停招标投标活动。</w:t>
      </w:r>
    </w:p>
    <w:bookmarkEnd w:id="529"/>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7.3 中标候选人履约能力审查</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中标候选人的经营、财务状况发生较大变化或者存在违法行为，招标人认为可能影响其履约能力的，应当在发出中标通知书前由原评标委员会按照招标文件规定的标准和方法审查确认。</w:t>
      </w:r>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45" w:name="_Toc83301727"/>
      <w:bookmarkStart w:id="546" w:name="_Toc95223375"/>
      <w:bookmarkStart w:id="547" w:name="_Toc60061474"/>
      <w:bookmarkStart w:id="548" w:name="_Toc78803363"/>
      <w:bookmarkStart w:id="549" w:name="_Toc152042346"/>
      <w:bookmarkStart w:id="550" w:name="_Toc506107308"/>
      <w:bookmarkStart w:id="551" w:name="_Toc179632588"/>
      <w:bookmarkStart w:id="552" w:name="_Toc246996214"/>
      <w:bookmarkStart w:id="553" w:name="_Toc246996957"/>
      <w:bookmarkStart w:id="554" w:name="_Toc296602460"/>
      <w:bookmarkStart w:id="555" w:name="_Toc35425096"/>
      <w:bookmarkStart w:id="556" w:name="_Toc35424930"/>
      <w:bookmarkStart w:id="557" w:name="_Toc11010"/>
      <w:bookmarkStart w:id="558" w:name="_Toc144974538"/>
      <w:bookmarkStart w:id="559" w:name="_Toc324404855"/>
      <w:bookmarkStart w:id="560" w:name="_Toc152045570"/>
      <w:bookmarkStart w:id="561" w:name="_Toc247085728"/>
      <w:bookmarkStart w:id="562" w:name="_Toc15058893"/>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 xml:space="preserve">4 </w:t>
      </w:r>
      <w:r>
        <w:rPr>
          <w:rFonts w:hint="eastAsia" w:ascii="宋体" w:hAnsi="宋体" w:eastAsia="宋体" w:cs="宋体"/>
          <w:color w:val="auto"/>
          <w:highlight w:val="none"/>
        </w:rPr>
        <w:t>定标</w:t>
      </w:r>
      <w:bookmarkEnd w:id="545"/>
      <w:bookmarkEnd w:id="546"/>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投标人须知前附表的规定，招标人或招标人授权的评标委员会依法确定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63" w:name="_Toc95223376"/>
      <w:bookmarkStart w:id="564" w:name="_Toc83301728"/>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xml:space="preserve"> 中标通知</w:t>
      </w:r>
      <w:bookmarkEnd w:id="547"/>
      <w:bookmarkEnd w:id="563"/>
      <w:bookmarkEnd w:id="564"/>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在本招标文件规定的投标有效期内，招标人向中标人发出中标通知书，同时将中标结果通知未中标的投标人。</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65" w:name="_Toc95223377"/>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 xml:space="preserve">6 </w:t>
      </w:r>
      <w:r>
        <w:rPr>
          <w:rFonts w:hint="eastAsia" w:ascii="宋体" w:hAnsi="宋体" w:eastAsia="宋体" w:cs="宋体"/>
          <w:color w:val="auto"/>
          <w:highlight w:val="none"/>
        </w:rPr>
        <w:t>中标</w:t>
      </w:r>
      <w:r>
        <w:rPr>
          <w:rFonts w:hint="eastAsia" w:ascii="宋体" w:hAnsi="宋体" w:eastAsia="宋体" w:cs="宋体"/>
          <w:color w:val="auto"/>
          <w:highlight w:val="none"/>
          <w:lang w:val="en-US" w:eastAsia="zh-CN"/>
        </w:rPr>
        <w:t>候选人</w:t>
      </w:r>
      <w:r>
        <w:rPr>
          <w:rFonts w:hint="eastAsia" w:ascii="宋体" w:hAnsi="宋体" w:eastAsia="宋体" w:cs="宋体"/>
          <w:color w:val="auto"/>
          <w:highlight w:val="none"/>
        </w:rPr>
        <w:t>公示</w:t>
      </w:r>
      <w:bookmarkEnd w:id="565"/>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招标人在确定中标人之日起3日内，按照投标人须知前附表规定的公示媒介和期限依法公示中标候选人公示。</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66" w:name="_Toc15058892"/>
      <w:bookmarkStart w:id="567" w:name="_Toc144974537"/>
      <w:bookmarkStart w:id="568" w:name="_Toc95223378"/>
      <w:bookmarkStart w:id="569" w:name="_Toc246996956"/>
      <w:bookmarkStart w:id="570" w:name="_Toc152042345"/>
      <w:bookmarkStart w:id="571" w:name="_Toc296602459"/>
      <w:bookmarkStart w:id="572" w:name="_Toc506107307"/>
      <w:bookmarkStart w:id="573" w:name="_Toc83301730"/>
      <w:bookmarkStart w:id="574" w:name="_Toc324404854"/>
      <w:bookmarkStart w:id="575" w:name="_Toc246996213"/>
      <w:bookmarkStart w:id="576" w:name="_Toc179632587"/>
      <w:bookmarkStart w:id="577" w:name="_Toc152045569"/>
      <w:bookmarkStart w:id="578" w:name="_Toc247085727"/>
      <w:bookmarkStart w:id="579" w:name="_Toc60061476"/>
      <w:r>
        <w:rPr>
          <w:rFonts w:hint="eastAsia" w:ascii="宋体" w:hAnsi="宋体" w:eastAsia="宋体" w:cs="宋体"/>
          <w:color w:val="auto"/>
          <w:highlight w:val="none"/>
        </w:rPr>
        <w:t>7.8 履约担保</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7.8.1在签订合同前，中标人应按投标人须知前附表规定的担保形式和招标文件第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章“合同条款及格式”规定的或者事先经过招标人书面认可的履约担保格式向招标人提交履约担保。联合体中标的，其履约担保应符合投标人须知前附表规定的金额、担保形式和招标文件第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章“合同条款及格式”规定的履约担保格式要求。</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7.8.2 中标人不能按本章第7.8.1项要求提交履约担保的，视为放弃中标，给招标人造成的损失的，中标人应当予以赔偿。</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80" w:name="_Toc60061477"/>
      <w:bookmarkStart w:id="581" w:name="_Toc83301731"/>
      <w:bookmarkStart w:id="582" w:name="_Toc95223379"/>
      <w:r>
        <w:rPr>
          <w:rFonts w:hint="eastAsia" w:ascii="宋体" w:hAnsi="宋体" w:eastAsia="宋体" w:cs="宋体"/>
          <w:color w:val="auto"/>
          <w:highlight w:val="none"/>
        </w:rPr>
        <w:t>7.9 签订合同</w:t>
      </w:r>
      <w:bookmarkEnd w:id="580"/>
      <w:bookmarkEnd w:id="581"/>
      <w:bookmarkEnd w:id="582"/>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7.9.1本招标工程的施工合同将授予按本须知第7.</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款规定所确定的中标人。</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7.9.2招标人和中标人应当自中标通知书发出之日起30天内，根据招标文件和中标人的投标文件订立书面合同。中标人无正当理由拒签合同的，在签订合同时向招标人提出附加条件，或不按照招标文件要求提交履约保证金的，招标人取消其中标资格；给招标人造成的损失的，中标人应当予以赔偿。</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7.9.3 发出中标通知书后，招标人无正当理由拒签合同的</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给中标人造成损失的，还应当赔偿损失。</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7.9.4 除法定情形外，建设工程合同履行期间项目经理（建造师）不得更换。项目经理（建造师）确需变更的，应根据招标文件要求，变更后的项目经理（建造师）不低于投标文件中拟派项目经理（建造师）的资格条件。</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7.9.5 联合体中标的，联合体各方应当共同与招标人签订合同，就中标项目向招标人承担连带责任。</w:t>
      </w:r>
    </w:p>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Pr>
        <w:pStyle w:val="4"/>
        <w:pageBreakBefore w:val="0"/>
        <w:widowControl w:val="0"/>
        <w:kinsoku/>
        <w:wordWrap/>
        <w:overflowPunct/>
        <w:topLinePunct w:val="0"/>
        <w:autoSpaceDE/>
        <w:autoSpaceDN/>
        <w:bidi w:val="0"/>
        <w:spacing w:beforeLines="50" w:afterLines="50" w:line="420" w:lineRule="exact"/>
        <w:ind w:firstLine="422" w:firstLineChars="200"/>
        <w:textAlignment w:val="auto"/>
        <w:rPr>
          <w:rFonts w:hint="eastAsia" w:ascii="宋体" w:hAnsi="宋体" w:eastAsia="宋体" w:cs="宋体"/>
          <w:color w:val="auto"/>
          <w:highlight w:val="none"/>
        </w:rPr>
      </w:pPr>
      <w:bookmarkStart w:id="583" w:name="_Toc179632589"/>
      <w:bookmarkStart w:id="584" w:name="_Toc95223381"/>
      <w:bookmarkStart w:id="585" w:name="_Toc152045571"/>
      <w:bookmarkStart w:id="586" w:name="_Toc144974539"/>
      <w:bookmarkStart w:id="587" w:name="_Toc152042347"/>
      <w:bookmarkStart w:id="588" w:name="_Toc60061478"/>
      <w:bookmarkStart w:id="589" w:name="_Toc83301732"/>
      <w:bookmarkStart w:id="590" w:name="_Toc25375"/>
      <w:bookmarkStart w:id="591" w:name="_Toc78803367"/>
      <w:bookmarkStart w:id="592" w:name="_Toc35424931"/>
      <w:bookmarkStart w:id="593" w:name="_Toc31686"/>
      <w:bookmarkStart w:id="594" w:name="_Toc35425097"/>
      <w:bookmarkStart w:id="595" w:name="_Toc26974"/>
      <w:bookmarkStart w:id="596" w:name="_Toc324404864"/>
      <w:bookmarkStart w:id="597" w:name="_Toc35425105"/>
      <w:bookmarkStart w:id="598" w:name="_Toc35424939"/>
      <w:bookmarkStart w:id="599" w:name="_Toc15058902"/>
      <w:bookmarkStart w:id="600" w:name="_Toc506107317"/>
      <w:bookmarkStart w:id="601" w:name="_Toc296602475"/>
      <w:r>
        <w:rPr>
          <w:rFonts w:hint="eastAsia" w:ascii="宋体" w:hAnsi="宋体" w:eastAsia="宋体" w:cs="宋体"/>
          <w:color w:val="auto"/>
          <w:highlight w:val="none"/>
        </w:rPr>
        <w:t>8. 重新招标和不再招标</w:t>
      </w:r>
      <w:bookmarkEnd w:id="583"/>
      <w:bookmarkEnd w:id="584"/>
      <w:bookmarkEnd w:id="585"/>
      <w:bookmarkEnd w:id="586"/>
      <w:bookmarkEnd w:id="587"/>
      <w:bookmarkEnd w:id="588"/>
      <w:bookmarkEnd w:id="589"/>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602" w:name="_Toc95223382"/>
      <w:bookmarkStart w:id="603" w:name="_Toc179632590"/>
      <w:bookmarkStart w:id="604" w:name="_Toc83301733"/>
      <w:bookmarkStart w:id="605" w:name="_Toc144974540"/>
      <w:bookmarkStart w:id="606" w:name="_Toc152045572"/>
      <w:bookmarkStart w:id="607" w:name="_Toc152042348"/>
      <w:bookmarkStart w:id="608" w:name="_Toc60061479"/>
      <w:r>
        <w:rPr>
          <w:rFonts w:hint="eastAsia" w:ascii="宋体" w:hAnsi="宋体" w:eastAsia="宋体" w:cs="宋体"/>
          <w:color w:val="auto"/>
          <w:highlight w:val="none"/>
        </w:rPr>
        <w:t>8.1 重新招标</w:t>
      </w:r>
      <w:bookmarkEnd w:id="602"/>
      <w:bookmarkEnd w:id="603"/>
      <w:bookmarkEnd w:id="604"/>
      <w:bookmarkEnd w:id="605"/>
      <w:bookmarkEnd w:id="606"/>
      <w:bookmarkEnd w:id="607"/>
      <w:bookmarkEnd w:id="608"/>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依法必须招标的项目有下列情形之一的，招标人将重新招标：</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（1）投标截止时间止，投标人少于3个的；</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（2）经评标委员会评审后否决所有投标的；</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（3）中标候选人均未与招标人签订合同的；</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（4）法律、法规规定的其他情形。</w:t>
      </w:r>
    </w:p>
    <w:p>
      <w:pPr>
        <w:pStyle w:val="4"/>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609" w:name="_Toc179632591"/>
      <w:bookmarkStart w:id="610" w:name="_Toc152045573"/>
      <w:bookmarkStart w:id="611" w:name="_Toc95223383"/>
      <w:bookmarkStart w:id="612" w:name="_Toc144974541"/>
      <w:bookmarkStart w:id="613" w:name="_Toc152042349"/>
      <w:bookmarkStart w:id="614" w:name="_Toc83301734"/>
      <w:bookmarkStart w:id="615" w:name="_Toc60061480"/>
      <w:r>
        <w:rPr>
          <w:rFonts w:hint="eastAsia" w:ascii="宋体" w:hAnsi="宋体" w:eastAsia="宋体" w:cs="宋体"/>
          <w:color w:val="auto"/>
          <w:highlight w:val="none"/>
        </w:rPr>
        <w:t>8.2 不再招标</w:t>
      </w:r>
      <w:bookmarkEnd w:id="609"/>
      <w:bookmarkEnd w:id="610"/>
      <w:bookmarkEnd w:id="611"/>
      <w:bookmarkEnd w:id="612"/>
      <w:bookmarkEnd w:id="613"/>
      <w:bookmarkEnd w:id="614"/>
      <w:bookmarkEnd w:id="615"/>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重新招标后投标人仍少于3个或者所有投标被否决的，属于必须审批或核准的工程建设项目，经原审批或核准部门批准后不再进行招标。</w:t>
      </w:r>
    </w:p>
    <w:p>
      <w:pPr>
        <w:pStyle w:val="4"/>
        <w:pageBreakBefore w:val="0"/>
        <w:widowControl w:val="0"/>
        <w:kinsoku/>
        <w:wordWrap/>
        <w:overflowPunct/>
        <w:topLinePunct w:val="0"/>
        <w:autoSpaceDE/>
        <w:autoSpaceDN/>
        <w:bidi w:val="0"/>
        <w:spacing w:beforeLines="50" w:afterLines="50"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9. 纪律和监督</w:t>
      </w:r>
      <w:bookmarkEnd w:id="590"/>
      <w:bookmarkEnd w:id="591"/>
      <w:bookmarkEnd w:id="592"/>
      <w:bookmarkEnd w:id="593"/>
      <w:bookmarkEnd w:id="594"/>
      <w:bookmarkEnd w:id="595"/>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16" w:name="_Toc246996962"/>
      <w:bookmarkStart w:id="617" w:name="_Toc246996219"/>
      <w:bookmarkStart w:id="618" w:name="_Toc2855"/>
      <w:bookmarkStart w:id="619" w:name="_Toc247085733"/>
      <w:bookmarkStart w:id="620" w:name="_Toc296602462"/>
      <w:bookmarkStart w:id="621" w:name="_Toc35425098"/>
      <w:bookmarkStart w:id="622" w:name="_Toc78803368"/>
      <w:bookmarkStart w:id="623" w:name="_Toc296590983"/>
      <w:bookmarkStart w:id="624" w:name="_Toc152045575"/>
      <w:bookmarkStart w:id="625" w:name="_Toc179632593"/>
      <w:bookmarkStart w:id="626" w:name="_Toc15607"/>
      <w:bookmarkStart w:id="627" w:name="_Toc144974543"/>
      <w:bookmarkStart w:id="628" w:name="_Toc152042351"/>
      <w:bookmarkStart w:id="629" w:name="_Toc324404857"/>
      <w:bookmarkStart w:id="630" w:name="_Toc35424932"/>
      <w:bookmarkStart w:id="631" w:name="_Toc506107310"/>
      <w:bookmarkStart w:id="632" w:name="_Toc15058895"/>
      <w:r>
        <w:rPr>
          <w:rFonts w:hint="eastAsia" w:ascii="宋体" w:hAnsi="宋体" w:eastAsia="宋体" w:cs="宋体"/>
          <w:color w:val="auto"/>
          <w:highlight w:val="none"/>
        </w:rPr>
        <w:t>9.1 对招标人的纪律要求</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招标人不得泄漏招标投标活动中应当保密的情况和资料，不得与投标人串通损害国家利益、社会公共利益或者他人合法权益。</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33" w:name="_Toc15058896"/>
      <w:bookmarkStart w:id="634" w:name="_Toc246996220"/>
      <w:bookmarkStart w:id="635" w:name="_Toc179632594"/>
      <w:bookmarkStart w:id="636" w:name="_Toc152045576"/>
      <w:bookmarkStart w:id="637" w:name="_Toc19779"/>
      <w:bookmarkStart w:id="638" w:name="_Toc247085734"/>
      <w:bookmarkStart w:id="639" w:name="_Toc324404858"/>
      <w:bookmarkStart w:id="640" w:name="_Toc35425099"/>
      <w:bookmarkStart w:id="641" w:name="_Toc246996963"/>
      <w:bookmarkStart w:id="642" w:name="_Toc152042352"/>
      <w:bookmarkStart w:id="643" w:name="_Toc32177"/>
      <w:bookmarkStart w:id="644" w:name="_Toc506107311"/>
      <w:bookmarkStart w:id="645" w:name="_Toc296602463"/>
      <w:bookmarkStart w:id="646" w:name="_Toc144974544"/>
      <w:bookmarkStart w:id="647" w:name="_Toc78803369"/>
      <w:bookmarkStart w:id="648" w:name="_Toc35424933"/>
      <w:r>
        <w:rPr>
          <w:rFonts w:hint="eastAsia" w:ascii="宋体" w:hAnsi="宋体" w:eastAsia="宋体" w:cs="宋体"/>
          <w:color w:val="auto"/>
          <w:highlight w:val="none"/>
        </w:rPr>
        <w:t>9.2 对投标人的纪律要求</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49" w:name="_Toc15058897"/>
      <w:bookmarkStart w:id="650" w:name="_Toc296602464"/>
      <w:bookmarkStart w:id="651" w:name="_Toc247085735"/>
      <w:bookmarkStart w:id="652" w:name="_Toc506107312"/>
      <w:bookmarkStart w:id="653" w:name="_Toc35425100"/>
      <w:bookmarkStart w:id="654" w:name="_Toc152042353"/>
      <w:bookmarkStart w:id="655" w:name="_Toc246996964"/>
      <w:bookmarkStart w:id="656" w:name="_Toc12564"/>
      <w:bookmarkStart w:id="657" w:name="_Toc179632595"/>
      <w:bookmarkStart w:id="658" w:name="_Toc78803370"/>
      <w:bookmarkStart w:id="659" w:name="_Toc246996221"/>
      <w:bookmarkStart w:id="660" w:name="_Toc13043"/>
      <w:bookmarkStart w:id="661" w:name="_Toc324404859"/>
      <w:bookmarkStart w:id="662" w:name="_Toc152045577"/>
      <w:bookmarkStart w:id="663" w:name="_Toc144974545"/>
      <w:bookmarkStart w:id="664" w:name="_Toc35424934"/>
      <w:r>
        <w:rPr>
          <w:rFonts w:hint="eastAsia" w:ascii="宋体" w:hAnsi="宋体" w:eastAsia="宋体" w:cs="宋体"/>
          <w:color w:val="auto"/>
          <w:highlight w:val="none"/>
        </w:rPr>
        <w:t>9.3 对评标委员会成员的纪律要求</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65" w:name="_Toc35424935"/>
      <w:bookmarkStart w:id="666" w:name="_Toc296602465"/>
      <w:bookmarkStart w:id="667" w:name="_Toc324404860"/>
      <w:bookmarkStart w:id="668" w:name="_Toc35425101"/>
      <w:bookmarkStart w:id="669" w:name="_Toc32214"/>
      <w:bookmarkStart w:id="670" w:name="_Toc18329"/>
      <w:bookmarkStart w:id="671" w:name="_Toc15058898"/>
      <w:bookmarkStart w:id="672" w:name="_Toc246996222"/>
      <w:bookmarkStart w:id="673" w:name="_Toc78803371"/>
      <w:bookmarkStart w:id="674" w:name="_Toc247085736"/>
      <w:bookmarkStart w:id="675" w:name="_Toc246996965"/>
      <w:bookmarkStart w:id="676" w:name="_Toc152045578"/>
      <w:bookmarkStart w:id="677" w:name="_Toc152042354"/>
      <w:bookmarkStart w:id="678" w:name="_Toc506107313"/>
      <w:bookmarkStart w:id="679" w:name="_Toc179632596"/>
      <w:bookmarkStart w:id="680" w:name="_Toc144974546"/>
      <w:r>
        <w:rPr>
          <w:rFonts w:hint="eastAsia" w:ascii="宋体" w:hAnsi="宋体" w:eastAsia="宋体" w:cs="宋体"/>
          <w:color w:val="auto"/>
          <w:highlight w:val="none"/>
        </w:rPr>
        <w:t>9.4 对与评标活动有关的工作人员的纪律要求</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681" w:name="_Toc152042355"/>
      <w:r>
        <w:rPr>
          <w:rFonts w:hint="eastAsia" w:ascii="宋体" w:hAnsi="宋体" w:cs="宋体"/>
          <w:color w:val="auto"/>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681"/>
    </w:p>
    <w:p>
      <w:pPr>
        <w:pStyle w:val="4"/>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82" w:name="_Toc35424936"/>
      <w:bookmarkStart w:id="683" w:name="_Toc324404861"/>
      <w:bookmarkStart w:id="684" w:name="_Toc246996966"/>
      <w:bookmarkStart w:id="685" w:name="_Toc246996223"/>
      <w:bookmarkStart w:id="686" w:name="_Toc152042356"/>
      <w:bookmarkStart w:id="687" w:name="_Toc296602466"/>
      <w:bookmarkStart w:id="688" w:name="_Toc247085737"/>
      <w:bookmarkStart w:id="689" w:name="_Toc2811"/>
      <w:bookmarkStart w:id="690" w:name="_Toc23607"/>
      <w:bookmarkStart w:id="691" w:name="_Toc15058899"/>
      <w:bookmarkStart w:id="692" w:name="_Toc152045579"/>
      <w:bookmarkStart w:id="693" w:name="_Toc35425102"/>
      <w:bookmarkStart w:id="694" w:name="_Toc179632597"/>
      <w:bookmarkStart w:id="695" w:name="_Toc78803372"/>
      <w:bookmarkStart w:id="696" w:name="_Toc506107314"/>
      <w:r>
        <w:rPr>
          <w:rFonts w:hint="eastAsia" w:ascii="宋体" w:hAnsi="宋体" w:eastAsia="宋体" w:cs="宋体"/>
          <w:color w:val="auto"/>
          <w:highlight w:val="none"/>
        </w:rPr>
        <w:t>9.5 投诉</w:t>
      </w:r>
      <w:bookmarkEnd w:id="680"/>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bookmarkStart w:id="697" w:name="_Toc16463"/>
      <w:bookmarkStart w:id="698" w:name="_Toc324404862"/>
      <w:bookmarkStart w:id="699" w:name="_Toc152042357"/>
      <w:bookmarkStart w:id="700" w:name="_Toc15058900"/>
      <w:bookmarkStart w:id="701" w:name="_Toc179632598"/>
      <w:bookmarkStart w:id="702" w:name="_Toc35424937"/>
      <w:bookmarkStart w:id="703" w:name="_Toc78803373"/>
      <w:bookmarkStart w:id="704" w:name="_Toc20669"/>
      <w:bookmarkStart w:id="705" w:name="_Toc152045580"/>
      <w:bookmarkStart w:id="706" w:name="_Toc31643"/>
      <w:bookmarkStart w:id="707" w:name="_Toc246996224"/>
      <w:bookmarkStart w:id="708" w:name="_Toc506107315"/>
      <w:bookmarkStart w:id="709" w:name="_Toc144974547"/>
      <w:bookmarkStart w:id="710" w:name="_Toc35425103"/>
      <w:bookmarkStart w:id="711" w:name="_Toc247085738"/>
      <w:bookmarkStart w:id="712" w:name="_Toc246996967"/>
      <w:r>
        <w:rPr>
          <w:rFonts w:hint="eastAsia" w:ascii="宋体" w:hAnsi="宋体" w:eastAsia="宋体" w:cs="宋体"/>
          <w:color w:val="auto"/>
          <w:szCs w:val="21"/>
          <w:highlight w:val="none"/>
        </w:rPr>
        <w:t>9.5.1投标人或者其他利害关系人认为招标投标活动违反法律、法规和规章规定的，有权向相关行政监督部门投诉。投诉应当有明确的请求和必要的证明材料。</w:t>
      </w:r>
    </w:p>
    <w:p>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9.5.2投标人和其他利害关系人对招标文件、开标和评标结果事项投诉的，应当按照投标人须知的规定先向招标人提出异议。异议答复期间不计算在第9.5.1项规定的期限内。</w:t>
      </w:r>
    </w:p>
    <w:p>
      <w:pPr>
        <w:pStyle w:val="4"/>
        <w:pageBreakBefore w:val="0"/>
        <w:widowControl w:val="0"/>
        <w:kinsoku/>
        <w:wordWrap/>
        <w:overflowPunct/>
        <w:topLinePunct w:val="0"/>
        <w:autoSpaceDE/>
        <w:autoSpaceDN/>
        <w:bidi w:val="0"/>
        <w:spacing w:beforeLines="50" w:afterLines="50"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10.需要补充的其他内容</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713" w:name="_Toc15058901"/>
      <w:r>
        <w:rPr>
          <w:rFonts w:hint="eastAsia" w:ascii="宋体" w:hAnsi="宋体" w:cs="宋体"/>
          <w:color w:val="auto"/>
          <w:szCs w:val="21"/>
          <w:highlight w:val="none"/>
        </w:rPr>
        <w:t>需要补充的其他内容：见投标人须知前附表。</w:t>
      </w:r>
      <w:bookmarkEnd w:id="713"/>
    </w:p>
    <w:p>
      <w:pPr>
        <w:spacing w:line="440" w:lineRule="exact"/>
        <w:jc w:val="left"/>
        <w:rPr>
          <w:rFonts w:ascii="宋体" w:hAnsi="宋体" w:cs="宋体"/>
          <w:color w:val="auto"/>
          <w:szCs w:val="21"/>
          <w:highlight w:val="none"/>
        </w:rPr>
      </w:pPr>
    </w:p>
    <w:p>
      <w:pPr>
        <w:pageBreakBefore/>
        <w:spacing w:beforeLines="80" w:afterLines="80" w:line="440" w:lineRule="exact"/>
        <w:jc w:val="center"/>
        <w:outlineLvl w:val="1"/>
        <w:rPr>
          <w:rFonts w:ascii="宋体"/>
          <w:b/>
          <w:color w:val="auto"/>
          <w:sz w:val="32"/>
          <w:szCs w:val="32"/>
          <w:highlight w:val="none"/>
        </w:rPr>
      </w:pPr>
      <w:bookmarkStart w:id="714" w:name="_Toc78803375"/>
      <w:r>
        <w:rPr>
          <w:rFonts w:hint="eastAsia" w:ascii="宋体"/>
          <w:b/>
          <w:color w:val="auto"/>
          <w:sz w:val="32"/>
          <w:szCs w:val="32"/>
          <w:highlight w:val="none"/>
        </w:rPr>
        <w:t>第二章  资格审查</w:t>
      </w:r>
      <w:bookmarkEnd w:id="596"/>
      <w:r>
        <w:rPr>
          <w:rFonts w:hint="eastAsia" w:ascii="宋体"/>
          <w:b/>
          <w:color w:val="auto"/>
          <w:sz w:val="32"/>
          <w:szCs w:val="32"/>
          <w:highlight w:val="none"/>
        </w:rPr>
        <w:t>办法</w:t>
      </w:r>
      <w:bookmarkEnd w:id="597"/>
      <w:bookmarkEnd w:id="598"/>
      <w:bookmarkEnd w:id="599"/>
      <w:bookmarkEnd w:id="600"/>
      <w:bookmarkEnd w:id="714"/>
    </w:p>
    <w:p>
      <w:pPr>
        <w:spacing w:beforeLines="50" w:afterLines="50" w:line="440" w:lineRule="exact"/>
        <w:jc w:val="center"/>
        <w:rPr>
          <w:rFonts w:ascii="宋体" w:hAnsi="宋体" w:cs="宋体"/>
          <w:b/>
          <w:bCs/>
          <w:color w:val="auto"/>
          <w:sz w:val="28"/>
          <w:szCs w:val="22"/>
          <w:highlight w:val="none"/>
        </w:rPr>
      </w:pPr>
      <w:bookmarkStart w:id="715" w:name="_Toc506107318"/>
      <w:bookmarkStart w:id="716" w:name="_Toc35425106"/>
      <w:bookmarkStart w:id="717" w:name="_Toc35424940"/>
      <w:bookmarkStart w:id="718" w:name="_Toc15058903"/>
      <w:bookmarkStart w:id="719" w:name="_Toc324404865"/>
      <w:r>
        <w:rPr>
          <w:rFonts w:hint="eastAsia" w:ascii="宋体" w:hAnsi="宋体" w:cs="宋体"/>
          <w:b/>
          <w:bCs/>
          <w:color w:val="auto"/>
          <w:sz w:val="28"/>
          <w:szCs w:val="22"/>
          <w:highlight w:val="none"/>
        </w:rPr>
        <w:t>资格审查办法前附表</w:t>
      </w:r>
      <w:bookmarkEnd w:id="715"/>
      <w:bookmarkEnd w:id="716"/>
      <w:bookmarkEnd w:id="717"/>
      <w:bookmarkEnd w:id="718"/>
      <w:bookmarkEnd w:id="719"/>
    </w:p>
    <w:p>
      <w:pPr>
        <w:spacing w:beforeLines="50" w:afterLines="50" w:line="440" w:lineRule="exact"/>
        <w:jc w:val="center"/>
        <w:rPr>
          <w:b/>
          <w:bCs/>
          <w:color w:val="auto"/>
          <w:sz w:val="24"/>
          <w:highlight w:val="none"/>
        </w:rPr>
      </w:pPr>
      <w:r>
        <w:rPr>
          <w:rFonts w:hint="eastAsia"/>
          <w:b/>
          <w:bCs/>
          <w:color w:val="auto"/>
          <w:sz w:val="24"/>
          <w:highlight w:val="none"/>
        </w:rPr>
        <w:t>资信证明文件评审</w:t>
      </w:r>
    </w:p>
    <w:tbl>
      <w:tblPr>
        <w:tblStyle w:val="46"/>
        <w:tblW w:w="10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58"/>
        <w:gridCol w:w="6183"/>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3" w:type="dxa"/>
            <w:gridSpan w:val="2"/>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6183" w:type="dxa"/>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审查内容</w:t>
            </w:r>
          </w:p>
        </w:tc>
        <w:tc>
          <w:tcPr>
            <w:tcW w:w="1860" w:type="dxa"/>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65" w:type="dxa"/>
            <w:vMerge w:val="restart"/>
            <w:noWrap/>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258" w:type="dxa"/>
            <w:vMerge w:val="restart"/>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审查资料</w:t>
            </w:r>
          </w:p>
        </w:tc>
        <w:tc>
          <w:tcPr>
            <w:tcW w:w="6183" w:type="dxa"/>
            <w:noWrap/>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法定代表人身份证明文件和本人有效身份证(或法定代表人授权委托书和委托代理人有效身份证)</w:t>
            </w:r>
          </w:p>
        </w:tc>
        <w:tc>
          <w:tcPr>
            <w:tcW w:w="1860" w:type="dxa"/>
            <w:noWrap/>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检验电子标书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诚信投标承诺书</w:t>
            </w:r>
          </w:p>
        </w:tc>
        <w:tc>
          <w:tcPr>
            <w:tcW w:w="1860" w:type="dxa"/>
            <w:vMerge w:val="restart"/>
            <w:noWrap/>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检验电子标书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企业法人营业执照</w:t>
            </w:r>
          </w:p>
        </w:tc>
        <w:tc>
          <w:tcPr>
            <w:tcW w:w="1860" w:type="dxa"/>
            <w:vMerge w:val="continue"/>
            <w:noWrap/>
            <w:vAlign w:val="center"/>
          </w:tcPr>
          <w:p>
            <w:pPr>
              <w:spacing w:line="440" w:lineRule="exact"/>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企业资质证书</w:t>
            </w:r>
          </w:p>
        </w:tc>
        <w:tc>
          <w:tcPr>
            <w:tcW w:w="1860" w:type="dxa"/>
            <w:vMerge w:val="continue"/>
            <w:noWrap/>
            <w:vAlign w:val="center"/>
          </w:tcPr>
          <w:p>
            <w:pPr>
              <w:spacing w:line="440" w:lineRule="exac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top"/>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企业安全生产许可证</w:t>
            </w:r>
          </w:p>
        </w:tc>
        <w:tc>
          <w:tcPr>
            <w:tcW w:w="1860" w:type="dxa"/>
            <w:vMerge w:val="continue"/>
            <w:noWrap/>
            <w:vAlign w:val="center"/>
          </w:tcPr>
          <w:p>
            <w:pPr>
              <w:spacing w:line="440" w:lineRule="exac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top"/>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宋体" w:hAnsi="宋体" w:cs="宋体"/>
                <w:color w:val="auto"/>
                <w:szCs w:val="21"/>
                <w:highlight w:val="none"/>
              </w:rPr>
            </w:pPr>
            <w:r>
              <w:rPr>
                <w:rFonts w:hint="eastAsia" w:ascii="宋体" w:hAnsi="宋体" w:cs="宋体"/>
                <w:color w:val="auto"/>
                <w:szCs w:val="21"/>
                <w:highlight w:val="none"/>
              </w:rPr>
              <w:t>项目经理（建造师）有效身份证、注册证书以及安全生产考核合格证书（B证）</w:t>
            </w:r>
          </w:p>
        </w:tc>
        <w:tc>
          <w:tcPr>
            <w:tcW w:w="1860" w:type="dxa"/>
            <w:vMerge w:val="continue"/>
            <w:noWrap/>
            <w:vAlign w:val="center"/>
          </w:tcPr>
          <w:p>
            <w:pPr>
              <w:spacing w:line="440" w:lineRule="exac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765" w:type="dxa"/>
            <w:vMerge w:val="continue"/>
            <w:noWrap/>
            <w:vAlign w:val="center"/>
          </w:tcPr>
          <w:p>
            <w:pPr>
              <w:spacing w:line="440" w:lineRule="exact"/>
              <w:jc w:val="center"/>
              <w:rPr>
                <w:rFonts w:ascii="宋体" w:hAnsi="宋体" w:cs="宋体"/>
                <w:color w:val="auto"/>
                <w:szCs w:val="21"/>
                <w:highlight w:val="none"/>
              </w:rPr>
            </w:pPr>
          </w:p>
        </w:tc>
        <w:tc>
          <w:tcPr>
            <w:tcW w:w="1258" w:type="dxa"/>
            <w:vMerge w:val="continue"/>
            <w:noWrap/>
            <w:vAlign w:val="center"/>
          </w:tcPr>
          <w:p>
            <w:pPr>
              <w:spacing w:line="440" w:lineRule="exact"/>
              <w:jc w:val="center"/>
              <w:rPr>
                <w:rFonts w:ascii="宋体" w:hAnsi="宋体" w:cs="宋体"/>
                <w:b/>
                <w:bCs/>
                <w:color w:val="auto"/>
                <w:szCs w:val="21"/>
                <w:highlight w:val="none"/>
              </w:rPr>
            </w:pPr>
          </w:p>
        </w:tc>
        <w:tc>
          <w:tcPr>
            <w:tcW w:w="6183" w:type="dxa"/>
            <w:noWrap/>
            <w:vAlign w:val="top"/>
          </w:tcPr>
          <w:p>
            <w:pPr>
              <w:spacing w:line="440" w:lineRule="exact"/>
              <w:rPr>
                <w:rFonts w:ascii="宋体" w:hAnsi="宋体" w:cs="宋体"/>
                <w:color w:val="auto"/>
                <w:highlight w:val="none"/>
              </w:rPr>
            </w:pPr>
            <w:r>
              <w:rPr>
                <w:rFonts w:hint="eastAsia" w:ascii="宋体" w:hAnsi="宋体" w:cs="宋体"/>
                <w:color w:val="auto"/>
                <w:szCs w:val="21"/>
                <w:highlight w:val="none"/>
              </w:rPr>
              <w:t>投标人的法定代表人(或委托代理人)和拟任项目经理（建造师）须持有社保部门出具的本单位为其缴纳的投标前近三个月连续的养老保险证明（含官网在线打印件，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tc>
        <w:tc>
          <w:tcPr>
            <w:tcW w:w="1860" w:type="dxa"/>
            <w:vMerge w:val="continue"/>
            <w:noWrap/>
            <w:vAlign w:val="center"/>
          </w:tcPr>
          <w:p>
            <w:pPr>
              <w:spacing w:line="440" w:lineRule="exact"/>
              <w:rPr>
                <w:rFonts w:ascii="宋体" w:hAnsi="宋体" w:cs="宋体"/>
                <w:color w:val="auto"/>
                <w:szCs w:val="21"/>
                <w:highlight w:val="none"/>
              </w:rPr>
            </w:pPr>
          </w:p>
        </w:tc>
      </w:tr>
    </w:tbl>
    <w:p>
      <w:pPr>
        <w:spacing w:line="44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重要提示：</w:t>
      </w:r>
    </w:p>
    <w:p>
      <w:pPr>
        <w:spacing w:line="44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）评标专家在检验电子投标文件过程中，如果由于投标人自身原因导致评标专家无法查看并检验电子投标文件中相关资料的，视为无效标处理。即使投标人将原件携带至现场的，同样按无效标处理。</w:t>
      </w:r>
    </w:p>
    <w:p>
      <w:pPr>
        <w:pStyle w:val="4"/>
        <w:spacing w:beforeLines="50" w:afterLines="50"/>
        <w:ind w:firstLine="422" w:firstLineChars="200"/>
        <w:rPr>
          <w:rFonts w:ascii="宋体" w:hAnsi="宋体" w:eastAsia="宋体" w:cs="宋体"/>
          <w:color w:val="auto"/>
          <w:highlight w:val="none"/>
        </w:rPr>
      </w:pPr>
      <w:bookmarkStart w:id="720" w:name="_Toc12549"/>
      <w:bookmarkStart w:id="721" w:name="_Toc15058909"/>
      <w:bookmarkStart w:id="722" w:name="_Toc324404867"/>
      <w:bookmarkStart w:id="723" w:name="_Toc35425108"/>
      <w:bookmarkStart w:id="724" w:name="_Toc78803377"/>
      <w:bookmarkStart w:id="725" w:name="_Toc35424942"/>
      <w:bookmarkStart w:id="726" w:name="_Toc506107320"/>
      <w:r>
        <w:rPr>
          <w:rFonts w:hint="eastAsia" w:ascii="宋体" w:hAnsi="宋体" w:eastAsia="宋体" w:cs="宋体"/>
          <w:color w:val="auto"/>
          <w:highlight w:val="none"/>
        </w:rPr>
        <w:t>2.审查办法</w:t>
      </w:r>
      <w:bookmarkEnd w:id="720"/>
      <w:bookmarkEnd w:id="721"/>
      <w:bookmarkEnd w:id="722"/>
      <w:bookmarkEnd w:id="723"/>
      <w:bookmarkEnd w:id="724"/>
      <w:bookmarkEnd w:id="725"/>
      <w:bookmarkEnd w:id="726"/>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由资格审查委员会（评标委员会）按资格审查办法前附表中资格审查必要合格条件评审表要求对投标人审查资料进行核验。</w:t>
      </w:r>
    </w:p>
    <w:p>
      <w:pPr>
        <w:pStyle w:val="4"/>
        <w:spacing w:beforeLines="50" w:afterLines="50"/>
        <w:ind w:firstLine="422" w:firstLineChars="200"/>
        <w:rPr>
          <w:rFonts w:ascii="宋体" w:hAnsi="宋体" w:eastAsia="宋体" w:cs="宋体"/>
          <w:color w:val="auto"/>
          <w:highlight w:val="none"/>
        </w:rPr>
      </w:pPr>
      <w:bookmarkStart w:id="727" w:name="_Toc506107321"/>
      <w:bookmarkStart w:id="728" w:name="_Toc15626"/>
      <w:bookmarkStart w:id="729" w:name="_Toc35424943"/>
      <w:bookmarkStart w:id="730" w:name="_Toc78803378"/>
      <w:bookmarkStart w:id="731" w:name="_Toc35425109"/>
      <w:bookmarkStart w:id="732" w:name="_Toc15058910"/>
      <w:bookmarkStart w:id="733" w:name="_Toc324404868"/>
      <w:r>
        <w:rPr>
          <w:rFonts w:hint="eastAsia" w:ascii="宋体" w:hAnsi="宋体" w:eastAsia="宋体" w:cs="宋体"/>
          <w:color w:val="auto"/>
          <w:highlight w:val="none"/>
        </w:rPr>
        <w:t>3.资格审查委员会和审查标准</w:t>
      </w:r>
      <w:bookmarkEnd w:id="727"/>
      <w:bookmarkEnd w:id="728"/>
      <w:bookmarkEnd w:id="729"/>
      <w:bookmarkEnd w:id="730"/>
      <w:bookmarkEnd w:id="731"/>
      <w:bookmarkEnd w:id="732"/>
      <w:bookmarkEnd w:id="733"/>
    </w:p>
    <w:p>
      <w:pPr>
        <w:spacing w:line="440" w:lineRule="exact"/>
        <w:ind w:firstLine="420" w:firstLineChars="200"/>
        <w:jc w:val="left"/>
        <w:rPr>
          <w:rFonts w:hint="eastAsia" w:ascii="宋体" w:hAnsi="宋体" w:eastAsia="宋体" w:cs="宋体"/>
          <w:color w:val="auto"/>
          <w:szCs w:val="21"/>
          <w:highlight w:val="none"/>
        </w:rPr>
      </w:pPr>
      <w:bookmarkStart w:id="734" w:name="_Toc78803379"/>
      <w:bookmarkStart w:id="735" w:name="_Toc35424944"/>
      <w:bookmarkStart w:id="736" w:name="_Toc324404869"/>
      <w:bookmarkStart w:id="737" w:name="_Toc10330"/>
      <w:bookmarkStart w:id="738" w:name="_Toc15058911"/>
      <w:bookmarkStart w:id="739" w:name="_Toc35425110"/>
      <w:bookmarkStart w:id="740" w:name="_Toc506107322"/>
      <w:r>
        <w:rPr>
          <w:rFonts w:hint="eastAsia" w:ascii="宋体" w:hAnsi="宋体" w:eastAsia="宋体" w:cs="宋体"/>
          <w:color w:val="auto"/>
          <w:szCs w:val="21"/>
          <w:highlight w:val="none"/>
        </w:rPr>
        <w:t>3.1资格审查由招标人依法组建的资格审查委员会（或评标委员会）负责。审查标准见资格审查办法前附表。</w:t>
      </w:r>
    </w:p>
    <w:p>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3.2由资格审查委员会（评标委员会）按资格审查办法前附表要求对投标人的审查资料进行核验。投标申请人有下列情形之一的，其资格审查为不合格： </w:t>
      </w:r>
    </w:p>
    <w:p>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未上传电子标书或电子标书经审查不合格；</w:t>
      </w:r>
    </w:p>
    <w:p>
      <w:pPr>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未</w:t>
      </w:r>
      <w:r>
        <w:rPr>
          <w:rFonts w:hint="eastAsia" w:ascii="宋体" w:hAnsi="宋体" w:eastAsia="宋体" w:cs="宋体"/>
          <w:color w:val="auto"/>
          <w:szCs w:val="21"/>
          <w:highlight w:val="none"/>
        </w:rPr>
        <w:t>按</w:t>
      </w:r>
      <w:r>
        <w:rPr>
          <w:rFonts w:hint="eastAsia" w:ascii="宋体" w:hAnsi="宋体" w:eastAsia="宋体" w:cs="宋体"/>
          <w:color w:val="auto"/>
          <w:szCs w:val="21"/>
          <w:highlight w:val="none"/>
          <w:lang w:val="en-US" w:eastAsia="zh-CN"/>
        </w:rPr>
        <w:t>招标公告</w:t>
      </w:r>
      <w:r>
        <w:rPr>
          <w:rFonts w:hint="eastAsia" w:ascii="宋体" w:hAnsi="宋体" w:eastAsia="宋体" w:cs="宋体"/>
          <w:color w:val="auto"/>
          <w:szCs w:val="21"/>
          <w:highlight w:val="none"/>
        </w:rPr>
        <w:t>要求提交投标保证金的；</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本条不采用</w:t>
      </w:r>
      <w:r>
        <w:rPr>
          <w:rFonts w:hint="eastAsia" w:ascii="宋体" w:hAnsi="宋体" w:cs="宋体"/>
          <w:color w:val="auto"/>
          <w:szCs w:val="21"/>
          <w:highlight w:val="none"/>
          <w:lang w:eastAsia="zh-CN"/>
        </w:rPr>
        <w:t>）</w:t>
      </w:r>
    </w:p>
    <w:p>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）法律、法规规定的其他情形。</w:t>
      </w:r>
    </w:p>
    <w:p>
      <w:pPr>
        <w:pStyle w:val="4"/>
        <w:spacing w:beforeLines="50" w:afterLines="50"/>
        <w:ind w:firstLine="422" w:firstLineChars="200"/>
        <w:rPr>
          <w:rFonts w:ascii="宋体" w:hAnsi="宋体" w:eastAsia="宋体" w:cs="宋体"/>
          <w:color w:val="auto"/>
          <w:highlight w:val="none"/>
        </w:rPr>
      </w:pPr>
      <w:r>
        <w:rPr>
          <w:rFonts w:hint="eastAsia" w:ascii="宋体" w:hAnsi="宋体" w:eastAsia="宋体" w:cs="宋体"/>
          <w:color w:val="auto"/>
          <w:highlight w:val="none"/>
        </w:rPr>
        <w:t>4.审查结果</w:t>
      </w:r>
      <w:bookmarkEnd w:id="734"/>
      <w:bookmarkEnd w:id="735"/>
      <w:bookmarkEnd w:id="736"/>
      <w:bookmarkEnd w:id="737"/>
      <w:bookmarkEnd w:id="738"/>
      <w:bookmarkEnd w:id="739"/>
      <w:bookmarkEnd w:id="740"/>
    </w:p>
    <w:p>
      <w:pPr>
        <w:spacing w:line="440" w:lineRule="exact"/>
        <w:ind w:firstLine="420" w:firstLineChars="200"/>
        <w:jc w:val="left"/>
        <w:rPr>
          <w:rFonts w:ascii="宋体" w:hAnsi="宋体" w:cs="宋体"/>
          <w:color w:val="auto"/>
          <w:szCs w:val="21"/>
          <w:highlight w:val="none"/>
        </w:rPr>
      </w:pPr>
      <w:r>
        <w:rPr>
          <w:rFonts w:hint="eastAsia" w:ascii="宋体" w:hAnsi="宋体" w:cs="宋体"/>
          <w:color w:val="auto"/>
          <w:highlight w:val="none"/>
        </w:rPr>
        <w:t>只有通过资格审查的投标人才能进入下一步的评标程序。</w:t>
      </w:r>
      <w:bookmarkStart w:id="741" w:name="_Toc506107323"/>
    </w:p>
    <w:p>
      <w:pPr>
        <w:pStyle w:val="3"/>
        <w:spacing w:beforeLines="50" w:afterLines="50"/>
        <w:rPr>
          <w:color w:val="auto"/>
          <w:highlight w:val="none"/>
        </w:rPr>
      </w:pPr>
      <w:bookmarkStart w:id="742" w:name="_Toc35424945"/>
      <w:bookmarkStart w:id="743" w:name="_Toc15058912"/>
      <w:bookmarkStart w:id="744" w:name="_Toc35425111"/>
      <w:r>
        <w:rPr>
          <w:rFonts w:hint="eastAsia"/>
          <w:color w:val="auto"/>
          <w:highlight w:val="none"/>
        </w:rPr>
        <w:br w:type="page"/>
      </w:r>
      <w:bookmarkStart w:id="745" w:name="_Toc78803380"/>
      <w:r>
        <w:rPr>
          <w:rFonts w:hint="eastAsia" w:ascii="Arial" w:hAnsi="Arial"/>
          <w:color w:val="auto"/>
          <w:kern w:val="0"/>
          <w:sz w:val="32"/>
          <w:szCs w:val="32"/>
          <w:highlight w:val="none"/>
        </w:rPr>
        <w:t>第三章  评标办法</w:t>
      </w:r>
      <w:bookmarkEnd w:id="601"/>
      <w:bookmarkEnd w:id="741"/>
      <w:bookmarkEnd w:id="742"/>
      <w:bookmarkEnd w:id="743"/>
      <w:bookmarkEnd w:id="744"/>
      <w:bookmarkEnd w:id="745"/>
    </w:p>
    <w:p>
      <w:pPr>
        <w:pStyle w:val="28"/>
        <w:keepNext w:val="0"/>
        <w:keepLines w:val="0"/>
        <w:pageBreakBefore w:val="0"/>
        <w:widowControl w:val="0"/>
        <w:numPr>
          <w:ilvl w:val="0"/>
          <w:numId w:val="0"/>
        </w:numPr>
        <w:kinsoku/>
        <w:wordWrap/>
        <w:overflowPunct/>
        <w:topLinePunct w:val="0"/>
        <w:autoSpaceDE/>
        <w:autoSpaceDN/>
        <w:bidi w:val="0"/>
        <w:adjustRightInd/>
        <w:snapToGrid/>
        <w:spacing w:before="95" w:beforeLines="30" w:after="95" w:afterLines="30" w:line="440" w:lineRule="exact"/>
        <w:ind w:leftChars="200"/>
        <w:jc w:val="center"/>
        <w:textAlignment w:val="auto"/>
        <w:rPr>
          <w:rFonts w:hint="eastAsia" w:ascii="Times New Roman" w:hAnsi="Times New Roman" w:eastAsia="宋体" w:cs="Times New Roman"/>
          <w:b/>
          <w:color w:val="auto"/>
          <w:sz w:val="28"/>
          <w:szCs w:val="21"/>
          <w:highlight w:val="none"/>
          <w:lang w:val="en-US" w:eastAsia="zh-CN"/>
        </w:rPr>
      </w:pPr>
      <w:r>
        <w:rPr>
          <w:rFonts w:hint="eastAsia" w:ascii="Times New Roman" w:hAnsi="Times New Roman" w:eastAsia="宋体" w:cs="Times New Roman"/>
          <w:b/>
          <w:color w:val="auto"/>
          <w:sz w:val="28"/>
          <w:szCs w:val="21"/>
          <w:highlight w:val="none"/>
          <w:lang w:val="en-US" w:eastAsia="zh-CN"/>
        </w:rPr>
        <w:t>商务标评审</w:t>
      </w:r>
    </w:p>
    <w:tbl>
      <w:tblPr>
        <w:tblStyle w:val="46"/>
        <w:tblW w:w="9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915"/>
        <w:gridCol w:w="945"/>
        <w:gridCol w:w="862"/>
        <w:gridCol w:w="2940"/>
        <w:gridCol w:w="3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942" w:type="dxa"/>
            <w:gridSpan w:val="3"/>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lang w:val="en-US" w:eastAsia="zh-CN"/>
              </w:rPr>
              <w:t>序</w:t>
            </w:r>
            <w:r>
              <w:rPr>
                <w:rFonts w:hint="eastAsia" w:ascii="宋体" w:hAnsi="宋体" w:cs="宋体"/>
                <w:b/>
                <w:bCs/>
                <w:color w:val="auto"/>
                <w:szCs w:val="21"/>
                <w:highlight w:val="none"/>
              </w:rPr>
              <w:t>号</w:t>
            </w:r>
          </w:p>
        </w:tc>
        <w:tc>
          <w:tcPr>
            <w:tcW w:w="3802" w:type="dxa"/>
            <w:gridSpan w:val="2"/>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评审因素</w:t>
            </w:r>
          </w:p>
        </w:tc>
        <w:tc>
          <w:tcPr>
            <w:tcW w:w="3232" w:type="dxa"/>
            <w:noWrap/>
            <w:vAlign w:val="center"/>
          </w:tcPr>
          <w:p>
            <w:pPr>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082" w:type="dxa"/>
            <w:vMerge w:val="restart"/>
            <w:noWrap/>
            <w:vAlign w:val="center"/>
          </w:tcPr>
          <w:p>
            <w:pPr>
              <w:spacing w:line="44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1</w:t>
            </w:r>
          </w:p>
        </w:tc>
        <w:tc>
          <w:tcPr>
            <w:tcW w:w="1860" w:type="dxa"/>
            <w:gridSpan w:val="2"/>
            <w:vMerge w:val="restart"/>
            <w:noWrap/>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形式评审标准</w:t>
            </w:r>
          </w:p>
        </w:tc>
        <w:tc>
          <w:tcPr>
            <w:tcW w:w="3802" w:type="dxa"/>
            <w:gridSpan w:val="2"/>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投标函签字盖章</w:t>
            </w:r>
          </w:p>
        </w:tc>
        <w:tc>
          <w:tcPr>
            <w:tcW w:w="3232" w:type="dxa"/>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有投标人及其法定代表人</w:t>
            </w:r>
            <w:r>
              <w:rPr>
                <w:rFonts w:hint="eastAsia" w:ascii="宋体" w:hAnsi="宋体" w:eastAsia="宋体" w:cs="宋体"/>
                <w:color w:val="auto"/>
                <w:szCs w:val="21"/>
                <w:highlight w:val="none"/>
                <w:lang w:val="en-US" w:eastAsia="zh-CN"/>
              </w:rPr>
              <w:t>签字或盖章</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投标文件格式</w:t>
            </w:r>
          </w:p>
        </w:tc>
        <w:tc>
          <w:tcPr>
            <w:tcW w:w="3232" w:type="dxa"/>
            <w:noWrap/>
            <w:vAlign w:val="center"/>
          </w:tcPr>
          <w:p>
            <w:pPr>
              <w:spacing w:line="440" w:lineRule="exact"/>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符合第</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章“投标文件格式”的要求</w:t>
            </w:r>
            <w:r>
              <w:rPr>
                <w:rFonts w:hint="eastAsia" w:ascii="宋体" w:hAnsi="宋体" w:eastAsia="宋体" w:cs="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商务标签字盖章</w:t>
            </w:r>
          </w:p>
        </w:tc>
        <w:tc>
          <w:tcPr>
            <w:tcW w:w="3232" w:type="dxa"/>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按投标文件格式要求签章。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报价唯一</w:t>
            </w:r>
          </w:p>
        </w:tc>
        <w:tc>
          <w:tcPr>
            <w:tcW w:w="3232" w:type="dxa"/>
            <w:noWrap/>
            <w:vAlign w:val="center"/>
          </w:tcPr>
          <w:p>
            <w:pPr>
              <w:spacing w:line="440" w:lineRule="exact"/>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只能有一个报价</w:t>
            </w:r>
            <w:r>
              <w:rPr>
                <w:rFonts w:hint="eastAsia" w:ascii="宋体" w:hAnsi="宋体" w:eastAsia="宋体" w:cs="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2" w:type="dxa"/>
            <w:vMerge w:val="restart"/>
            <w:noWrap/>
            <w:vAlign w:val="center"/>
          </w:tcPr>
          <w:p>
            <w:pPr>
              <w:spacing w:line="44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2</w:t>
            </w:r>
          </w:p>
        </w:tc>
        <w:tc>
          <w:tcPr>
            <w:tcW w:w="1860" w:type="dxa"/>
            <w:gridSpan w:val="2"/>
            <w:vMerge w:val="restart"/>
            <w:noWrap/>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响应性评审标准</w:t>
            </w:r>
          </w:p>
        </w:tc>
        <w:tc>
          <w:tcPr>
            <w:tcW w:w="3802" w:type="dxa"/>
            <w:gridSpan w:val="2"/>
            <w:noWrap/>
            <w:vAlign w:val="center"/>
          </w:tcPr>
          <w:p>
            <w:pPr>
              <w:adjustRightInd w:val="0"/>
              <w:snapToGrid w:val="0"/>
              <w:spacing w:line="560" w:lineRule="exact"/>
              <w:jc w:val="left"/>
              <w:rPr>
                <w:rFonts w:ascii="宋体" w:hAnsi="宋体" w:cs="宋体"/>
                <w:color w:val="auto"/>
                <w:szCs w:val="21"/>
                <w:highlight w:val="none"/>
              </w:rPr>
            </w:pPr>
            <w:r>
              <w:rPr>
                <w:rFonts w:hint="eastAsia" w:ascii="宋体" w:hAnsi="宋体"/>
                <w:color w:val="auto"/>
                <w:szCs w:val="21"/>
                <w:highlight w:val="none"/>
              </w:rPr>
              <w:t>工期</w:t>
            </w:r>
          </w:p>
        </w:tc>
        <w:tc>
          <w:tcPr>
            <w:tcW w:w="3232" w:type="dxa"/>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符合投标须知前附表规定。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工程质量</w:t>
            </w:r>
          </w:p>
        </w:tc>
        <w:tc>
          <w:tcPr>
            <w:tcW w:w="3232" w:type="dxa"/>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符合投标须知前附表规定。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投标有效期</w:t>
            </w:r>
          </w:p>
        </w:tc>
        <w:tc>
          <w:tcPr>
            <w:tcW w:w="3232" w:type="dxa"/>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符合投标须知前附表规定。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已标价工程量清单</w:t>
            </w:r>
          </w:p>
        </w:tc>
        <w:tc>
          <w:tcPr>
            <w:tcW w:w="3232" w:type="dxa"/>
            <w:noWrap/>
            <w:vAlign w:val="center"/>
          </w:tcPr>
          <w:p>
            <w:pPr>
              <w:adjustRightInd w:val="0"/>
              <w:snapToGrid w:val="0"/>
              <w:spacing w:line="560" w:lineRule="exact"/>
              <w:rPr>
                <w:rFonts w:hint="eastAsia" w:ascii="宋体" w:hAnsi="宋体" w:eastAsia="宋体" w:cs="宋体"/>
                <w:color w:val="auto"/>
                <w:szCs w:val="21"/>
                <w:highlight w:val="none"/>
                <w:lang w:eastAsia="zh-CN"/>
              </w:rPr>
            </w:pPr>
            <w:r>
              <w:rPr>
                <w:rFonts w:hint="eastAsia" w:ascii="宋体" w:hAnsi="宋体"/>
                <w:color w:val="auto"/>
                <w:szCs w:val="21"/>
                <w:highlight w:val="none"/>
              </w:rPr>
              <w:t>与招标人发布的招标工程量清单（含需评审材料清单）排序一致</w:t>
            </w:r>
            <w:r>
              <w:rPr>
                <w:rFonts w:hint="eastAsia" w:ascii="宋体" w:hAnsi="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adjustRightInd w:val="0"/>
              <w:snapToGrid w:val="0"/>
              <w:spacing w:line="560" w:lineRule="exact"/>
              <w:jc w:val="left"/>
              <w:rPr>
                <w:rFonts w:hint="eastAsia" w:ascii="宋体" w:hAnsi="宋体"/>
                <w:color w:val="auto"/>
                <w:szCs w:val="21"/>
                <w:highlight w:val="none"/>
              </w:rPr>
            </w:pPr>
            <w:r>
              <w:rPr>
                <w:rFonts w:hint="eastAsia" w:ascii="宋体" w:hAnsi="宋体"/>
                <w:color w:val="auto"/>
                <w:szCs w:val="21"/>
                <w:highlight w:val="none"/>
              </w:rPr>
              <w:t>投标总价评审</w:t>
            </w:r>
          </w:p>
        </w:tc>
        <w:tc>
          <w:tcPr>
            <w:tcW w:w="3232" w:type="dxa"/>
            <w:noWrap/>
            <w:vAlign w:val="center"/>
          </w:tcPr>
          <w:p>
            <w:pPr>
              <w:adjustRightInd w:val="0"/>
              <w:snapToGrid w:val="0"/>
              <w:spacing w:line="560" w:lineRule="exact"/>
              <w:jc w:val="left"/>
              <w:rPr>
                <w:rFonts w:hint="eastAsia" w:ascii="宋体" w:hAnsi="宋体"/>
                <w:color w:val="auto"/>
                <w:szCs w:val="21"/>
                <w:highlight w:val="none"/>
              </w:rPr>
            </w:pPr>
            <w:r>
              <w:rPr>
                <w:rFonts w:hint="eastAsia" w:ascii="宋体" w:hAnsi="宋体"/>
                <w:color w:val="auto"/>
                <w:spacing w:val="-6"/>
                <w:szCs w:val="21"/>
                <w:highlight w:val="none"/>
              </w:rPr>
              <w:t>不得高于最高投标限价，也不得低于工程成本价。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3802" w:type="dxa"/>
            <w:gridSpan w:val="2"/>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暂列金额、专业工程暂估价、分部分项工程材料及设备暂估价</w:t>
            </w:r>
          </w:p>
        </w:tc>
        <w:tc>
          <w:tcPr>
            <w:tcW w:w="3232" w:type="dxa"/>
            <w:noWrap/>
            <w:vAlign w:val="center"/>
          </w:tcPr>
          <w:p>
            <w:pPr>
              <w:adjustRightInd w:val="0"/>
              <w:snapToGrid w:val="0"/>
              <w:spacing w:line="560" w:lineRule="exact"/>
              <w:rPr>
                <w:rFonts w:ascii="宋体" w:hAnsi="宋体" w:cs="宋体"/>
                <w:color w:val="auto"/>
                <w:szCs w:val="21"/>
                <w:highlight w:val="none"/>
              </w:rPr>
            </w:pPr>
            <w:r>
              <w:rPr>
                <w:rFonts w:hint="eastAsia" w:ascii="宋体" w:hAnsi="宋体"/>
                <w:color w:val="auto"/>
                <w:szCs w:val="21"/>
                <w:highlight w:val="none"/>
              </w:rPr>
              <w:t>与招标人发布的招标工程量清单一致。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restart"/>
            <w:noWrap/>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860" w:type="dxa"/>
            <w:gridSpan w:val="2"/>
            <w:vMerge w:val="restart"/>
            <w:noWrap/>
            <w:vAlign w:val="center"/>
          </w:tcPr>
          <w:p>
            <w:pPr>
              <w:spacing w:line="440" w:lineRule="exact"/>
              <w:jc w:val="center"/>
              <w:rPr>
                <w:rFonts w:ascii="宋体" w:hAnsi="宋体" w:cs="宋体"/>
                <w:b/>
                <w:bCs/>
                <w:color w:val="auto"/>
                <w:szCs w:val="21"/>
                <w:highlight w:val="none"/>
              </w:rPr>
            </w:pPr>
            <w:r>
              <w:rPr>
                <w:rFonts w:hint="eastAsia" w:ascii="宋体" w:hAnsi="宋体"/>
                <w:color w:val="auto"/>
                <w:szCs w:val="21"/>
                <w:highlight w:val="none"/>
              </w:rPr>
              <w:t>详细评审标准</w:t>
            </w:r>
          </w:p>
        </w:tc>
        <w:tc>
          <w:tcPr>
            <w:tcW w:w="862" w:type="dxa"/>
            <w:vMerge w:val="restart"/>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工程成本评审</w:t>
            </w:r>
          </w:p>
        </w:tc>
        <w:tc>
          <w:tcPr>
            <w:tcW w:w="6172" w:type="dxa"/>
            <w:gridSpan w:val="2"/>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投标报价出现下列情形之一的，由评标委员会重点评审后界定其报价是否低于工程成本：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投标报价</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投标报价低于同一工程有效投标报价平均值10%以上。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报价内容完整性</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因投标人原因造成投标报价清单缺漏，缺漏项总额（多算或多报总额不得抵消缺漏项目总额）累计占同一工程</w:t>
            </w:r>
            <w:r>
              <w:rPr>
                <w:rFonts w:hint="eastAsia" w:ascii="宋体" w:hAnsi="宋体"/>
                <w:color w:val="auto"/>
                <w:spacing w:val="-6"/>
                <w:szCs w:val="21"/>
                <w:highlight w:val="none"/>
              </w:rPr>
              <w:t>有效投标总报价平均值</w:t>
            </w:r>
            <w:r>
              <w:rPr>
                <w:rFonts w:ascii="宋体" w:hAnsi="宋体"/>
                <w:color w:val="auto"/>
                <w:spacing w:val="-6"/>
                <w:szCs w:val="21"/>
                <w:highlight w:val="none"/>
              </w:rPr>
              <w:t>5%</w:t>
            </w:r>
            <w:r>
              <w:rPr>
                <w:rFonts w:hint="eastAsia" w:ascii="宋体" w:hAnsi="宋体"/>
                <w:color w:val="auto"/>
                <w:spacing w:val="-6"/>
                <w:szCs w:val="21"/>
                <w:highlight w:val="none"/>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人工工日单价</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不得低于招标人发布的最高投标限价中的人工工日单价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需评审材料数量</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需评审的主要材料消耗量低于最高投标限价相应材料数量的5</w:t>
            </w:r>
            <w:r>
              <w:rPr>
                <w:rFonts w:ascii="宋体" w:hAnsi="宋体"/>
                <w:color w:val="auto"/>
                <w:szCs w:val="21"/>
                <w:highlight w:val="none"/>
              </w:rPr>
              <w:t>%</w:t>
            </w:r>
            <w:r>
              <w:rPr>
                <w:rFonts w:hint="eastAsia" w:ascii="宋体" w:hAnsi="宋体"/>
                <w:color w:val="auto"/>
                <w:szCs w:val="21"/>
                <w:highlight w:val="none"/>
              </w:rPr>
              <w:t>以上，且低于同一工程有效投标报价相应材料消耗量平均值的</w:t>
            </w:r>
            <w:r>
              <w:rPr>
                <w:rFonts w:ascii="宋体" w:hAnsi="宋体"/>
                <w:color w:val="auto"/>
                <w:szCs w:val="21"/>
                <w:highlight w:val="none"/>
              </w:rPr>
              <w:t>3%</w:t>
            </w:r>
            <w:r>
              <w:rPr>
                <w:rFonts w:hint="eastAsia" w:ascii="宋体" w:hAnsi="宋体"/>
                <w:color w:val="auto"/>
                <w:szCs w:val="21"/>
                <w:highlight w:val="none"/>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施工机具使用费</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施工机具使用费低于同一工程有效投标报价施工机具使用费平均值的</w:t>
            </w:r>
            <w:r>
              <w:rPr>
                <w:rFonts w:ascii="宋体" w:hAnsi="宋体"/>
                <w:color w:val="auto"/>
                <w:szCs w:val="21"/>
                <w:highlight w:val="none"/>
              </w:rPr>
              <w:t>10%</w:t>
            </w:r>
            <w:r>
              <w:rPr>
                <w:rFonts w:hint="eastAsia" w:ascii="宋体" w:hAnsi="宋体"/>
                <w:color w:val="auto"/>
                <w:szCs w:val="21"/>
                <w:highlight w:val="none"/>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管理费和利润费率</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管理费、利润投标费率低于</w:t>
            </w:r>
            <w:r>
              <w:rPr>
                <w:rFonts w:ascii="宋体" w:hAnsi="宋体"/>
                <w:color w:val="auto"/>
                <w:szCs w:val="21"/>
                <w:highlight w:val="none"/>
              </w:rPr>
              <w:t>0%</w:t>
            </w: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restart"/>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无效报价</w:t>
            </w: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暂估价材料、设备</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材料、设备暂估价未按要求计入分部分项工程费。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不可竞争项目费费率</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低于建标〔2021〕42号文规定的费率。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82" w:type="dxa"/>
            <w:vMerge w:val="continue"/>
            <w:noWrap/>
          </w:tcPr>
          <w:p>
            <w:pPr>
              <w:spacing w:line="440" w:lineRule="exact"/>
              <w:rPr>
                <w:rFonts w:ascii="宋体" w:hAnsi="宋体" w:cs="宋体"/>
                <w:color w:val="auto"/>
                <w:szCs w:val="21"/>
                <w:highlight w:val="none"/>
              </w:rPr>
            </w:pPr>
          </w:p>
        </w:tc>
        <w:tc>
          <w:tcPr>
            <w:tcW w:w="1860" w:type="dxa"/>
            <w:gridSpan w:val="2"/>
            <w:vMerge w:val="continue"/>
            <w:noWrap/>
          </w:tcPr>
          <w:p>
            <w:pPr>
              <w:spacing w:line="440" w:lineRule="exact"/>
              <w:rPr>
                <w:rFonts w:ascii="宋体" w:hAnsi="宋体" w:cs="宋体"/>
                <w:color w:val="auto"/>
                <w:szCs w:val="21"/>
                <w:highlight w:val="none"/>
              </w:rPr>
            </w:pPr>
          </w:p>
        </w:tc>
        <w:tc>
          <w:tcPr>
            <w:tcW w:w="862" w:type="dxa"/>
            <w:vMerge w:val="continue"/>
            <w:noWrap/>
            <w:vAlign w:val="center"/>
          </w:tcPr>
          <w:p>
            <w:pPr>
              <w:adjustRightInd w:val="0"/>
              <w:snapToGrid w:val="0"/>
              <w:spacing w:line="560" w:lineRule="exact"/>
              <w:rPr>
                <w:rFonts w:hint="eastAsia" w:ascii="宋体" w:hAnsi="宋体"/>
                <w:color w:val="auto"/>
                <w:szCs w:val="21"/>
                <w:highlight w:val="none"/>
              </w:rPr>
            </w:pPr>
          </w:p>
        </w:tc>
        <w:tc>
          <w:tcPr>
            <w:tcW w:w="2940" w:type="dxa"/>
            <w:noWrap/>
            <w:vAlign w:val="center"/>
          </w:tcPr>
          <w:p>
            <w:pPr>
              <w:adjustRightInd w:val="0"/>
              <w:snapToGrid w:val="0"/>
              <w:spacing w:line="560" w:lineRule="exact"/>
              <w:jc w:val="center"/>
              <w:rPr>
                <w:rFonts w:hint="eastAsia" w:ascii="宋体" w:hAnsi="宋体"/>
                <w:color w:val="auto"/>
                <w:szCs w:val="21"/>
                <w:highlight w:val="none"/>
              </w:rPr>
            </w:pPr>
            <w:r>
              <w:rPr>
                <w:rFonts w:hint="eastAsia" w:ascii="宋体" w:hAnsi="宋体"/>
                <w:color w:val="auto"/>
                <w:szCs w:val="21"/>
                <w:highlight w:val="none"/>
              </w:rPr>
              <w:t>税率</w:t>
            </w:r>
          </w:p>
        </w:tc>
        <w:tc>
          <w:tcPr>
            <w:tcW w:w="3232" w:type="dxa"/>
            <w:noWrap/>
            <w:vAlign w:val="center"/>
          </w:tcPr>
          <w:p>
            <w:pPr>
              <w:adjustRightInd w:val="0"/>
              <w:snapToGrid w:val="0"/>
              <w:spacing w:line="560" w:lineRule="exact"/>
              <w:rPr>
                <w:rFonts w:hint="eastAsia" w:ascii="宋体" w:hAnsi="宋体"/>
                <w:color w:val="auto"/>
                <w:szCs w:val="21"/>
                <w:highlight w:val="none"/>
              </w:rPr>
            </w:pPr>
            <w:r>
              <w:rPr>
                <w:rFonts w:hint="eastAsia" w:ascii="宋体" w:hAnsi="宋体"/>
                <w:color w:val="auto"/>
                <w:szCs w:val="21"/>
                <w:highlight w:val="none"/>
              </w:rPr>
              <w:t>低于《关于调整我省现行建设工程计价依据增值税税率的通知》（皖造价〔2019〕7号）规定的费率。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997" w:type="dxa"/>
            <w:gridSpan w:val="2"/>
            <w:noWrap/>
            <w:vAlign w:val="center"/>
          </w:tcPr>
          <w:p>
            <w:pPr>
              <w:adjustRightInd w:val="0"/>
              <w:snapToGrid w:val="0"/>
              <w:spacing w:line="560" w:lineRule="exact"/>
              <w:jc w:val="center"/>
              <w:rPr>
                <w:rFonts w:ascii="宋体" w:hAnsi="宋体"/>
                <w:color w:val="auto"/>
                <w:szCs w:val="21"/>
                <w:highlight w:val="none"/>
              </w:rPr>
            </w:pPr>
            <w:r>
              <w:rPr>
                <w:rFonts w:ascii="宋体" w:hAnsi="宋体"/>
                <w:color w:val="auto"/>
                <w:szCs w:val="21"/>
                <w:highlight w:val="none"/>
              </w:rPr>
              <w:t>商务评分</w:t>
            </w:r>
          </w:p>
          <w:p>
            <w:pPr>
              <w:keepNext w:val="0"/>
              <w:keepLines w:val="0"/>
              <w:pageBreakBefore w:val="0"/>
              <w:kinsoku/>
              <w:wordWrap/>
              <w:overflowPunct/>
              <w:topLinePunct w:val="0"/>
              <w:autoSpaceDE/>
              <w:autoSpaceDN/>
              <w:bidi w:val="0"/>
              <w:adjustRightInd/>
              <w:spacing w:beforeAutospacing="0" w:afterAutospacing="0" w:line="440" w:lineRule="exact"/>
              <w:jc w:val="center"/>
              <w:textAlignment w:val="auto"/>
              <w:rPr>
                <w:rFonts w:hint="default" w:ascii="宋体" w:hAnsi="宋体" w:cs="宋体"/>
                <w:bCs/>
                <w:color w:val="auto"/>
                <w:szCs w:val="21"/>
                <w:highlight w:val="none"/>
                <w:lang w:val="en-US"/>
              </w:rPr>
            </w:pPr>
            <w:r>
              <w:rPr>
                <w:rFonts w:ascii="宋体" w:hAnsi="宋体"/>
                <w:color w:val="auto"/>
                <w:szCs w:val="21"/>
                <w:highlight w:val="none"/>
              </w:rPr>
              <w:t>（</w:t>
            </w:r>
            <w:r>
              <w:rPr>
                <w:rFonts w:hint="eastAsia" w:ascii="宋体" w:hAnsi="宋体"/>
                <w:color w:val="auto"/>
                <w:szCs w:val="21"/>
                <w:highlight w:val="none"/>
                <w:lang w:val="en-US" w:eastAsia="zh-CN"/>
              </w:rPr>
              <w:t>100</w:t>
            </w:r>
            <w:r>
              <w:rPr>
                <w:rFonts w:ascii="宋体" w:hAnsi="宋体"/>
                <w:color w:val="auto"/>
                <w:szCs w:val="21"/>
                <w:highlight w:val="none"/>
              </w:rPr>
              <w:t>分）</w:t>
            </w:r>
          </w:p>
        </w:tc>
        <w:tc>
          <w:tcPr>
            <w:tcW w:w="4747" w:type="dxa"/>
            <w:gridSpan w:val="3"/>
            <w:noWrap/>
            <w:vAlign w:val="center"/>
          </w:tcPr>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hint="eastAsia" w:ascii="宋体" w:hAnsi="宋体"/>
                <w:color w:val="auto"/>
                <w:szCs w:val="21"/>
                <w:highlight w:val="none"/>
              </w:rPr>
            </w:pPr>
            <w:r>
              <w:rPr>
                <w:rFonts w:hint="eastAsia" w:ascii="宋体" w:hAnsi="宋体"/>
                <w:color w:val="auto"/>
                <w:szCs w:val="21"/>
                <w:highlight w:val="none"/>
              </w:rPr>
              <w:t>一、报价偏差率计算。</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hint="eastAsia" w:ascii="宋体" w:hAnsi="宋体"/>
                <w:color w:val="auto"/>
                <w:szCs w:val="21"/>
                <w:highlight w:val="none"/>
              </w:rPr>
            </w:pPr>
            <w:r>
              <w:rPr>
                <w:rFonts w:hint="eastAsia" w:ascii="宋体" w:hAnsi="宋体"/>
                <w:color w:val="auto"/>
                <w:szCs w:val="21"/>
                <w:highlight w:val="none"/>
              </w:rPr>
              <w:t>偏差率=|（投标报价-评标基准价）/评标基准价|×100%</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hint="eastAsia" w:ascii="宋体" w:hAnsi="宋体"/>
                <w:color w:val="auto"/>
                <w:szCs w:val="21"/>
                <w:highlight w:val="none"/>
              </w:rPr>
            </w:pPr>
            <w:r>
              <w:rPr>
                <w:rFonts w:hint="eastAsia" w:ascii="宋体" w:hAnsi="宋体"/>
                <w:color w:val="auto"/>
                <w:szCs w:val="21"/>
                <w:highlight w:val="none"/>
              </w:rPr>
              <w:t>二、报价得分计算。</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ascii="宋体" w:hAnsi="宋体"/>
                <w:color w:val="auto"/>
                <w:szCs w:val="21"/>
                <w:highlight w:val="none"/>
              </w:rPr>
            </w:pPr>
            <w:r>
              <w:rPr>
                <w:rFonts w:hint="eastAsia" w:ascii="宋体" w:hAnsi="宋体"/>
                <w:color w:val="auto"/>
                <w:szCs w:val="21"/>
                <w:highlight w:val="none"/>
              </w:rPr>
              <w:t>投标报价等于评标基准价的得满分，其余投标人的报价得分按照下列公示计算：</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hint="eastAsia" w:ascii="宋体" w:hAnsi="宋体"/>
                <w:color w:val="auto"/>
                <w:szCs w:val="21"/>
                <w:highlight w:val="none"/>
              </w:rPr>
            </w:pPr>
            <w:r>
              <w:rPr>
                <w:rFonts w:hint="eastAsia" w:ascii="宋体" w:hAnsi="宋体"/>
                <w:color w:val="auto"/>
                <w:szCs w:val="21"/>
                <w:highlight w:val="none"/>
              </w:rPr>
              <w:t>①投标报价高于评标基准价的，投标报价得分=报价满分值-偏差率×100×1</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ascii="宋体" w:hAnsi="宋体"/>
                <w:color w:val="auto"/>
                <w:szCs w:val="21"/>
                <w:highlight w:val="none"/>
              </w:rPr>
            </w:pPr>
            <w:r>
              <w:rPr>
                <w:rFonts w:hint="eastAsia" w:ascii="宋体" w:hAnsi="宋体"/>
                <w:color w:val="auto"/>
                <w:szCs w:val="21"/>
                <w:highlight w:val="none"/>
              </w:rPr>
              <w:t>②投标报价低于评标基准价的，投标报价得分=报价满分值-偏差率×100×0.5</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rFonts w:hint="eastAsia" w:ascii="宋体" w:hAnsi="宋体"/>
                <w:color w:val="auto"/>
                <w:szCs w:val="21"/>
                <w:highlight w:val="none"/>
              </w:rPr>
            </w:pPr>
            <w:r>
              <w:rPr>
                <w:rFonts w:hint="eastAsia"/>
                <w:color w:val="auto"/>
                <w:highlight w:val="none"/>
              </w:rPr>
              <w:t>注：1、偏差率=|（投标报价-评标基准价）/评标基准价|</w:t>
            </w:r>
            <w:r>
              <w:rPr>
                <w:rFonts w:hint="eastAsia" w:ascii="宋体" w:hAnsi="宋体"/>
                <w:color w:val="auto"/>
                <w:szCs w:val="21"/>
                <w:highlight w:val="none"/>
              </w:rPr>
              <w:t>×100%</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color w:val="auto"/>
                <w:highlight w:val="none"/>
              </w:rPr>
            </w:pPr>
            <w:r>
              <w:rPr>
                <w:rFonts w:hint="eastAsia" w:ascii="宋体" w:hAnsi="宋体"/>
                <w:color w:val="auto"/>
                <w:szCs w:val="21"/>
                <w:highlight w:val="none"/>
              </w:rPr>
              <w:t>2、计算过程中，B值、评标基准价（F值）、偏差率、报价得分均保留两位小数，小数点后第三位四舍五入。</w:t>
            </w:r>
          </w:p>
        </w:tc>
        <w:tc>
          <w:tcPr>
            <w:tcW w:w="3232" w:type="dxa"/>
            <w:noWrap/>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评标基准价F=B×（1-K）其中：K为调整系数，K的取值为-0.5%（1号），0%（2号），0.5%（3号），1.0%（4号），1.5%（5号）。</w:t>
            </w:r>
          </w:p>
          <w:p>
            <w:pPr>
              <w:pStyle w:val="14"/>
              <w:keepNext w:val="0"/>
              <w:keepLines w:val="0"/>
              <w:pageBreakBefore w:val="0"/>
              <w:widowControl w:val="0"/>
              <w:kinsoku/>
              <w:wordWrap/>
              <w:overflowPunct/>
              <w:topLinePunct w:val="0"/>
              <w:autoSpaceDE/>
              <w:autoSpaceDN/>
              <w:bidi w:val="0"/>
              <w:adjustRightInd w:val="0"/>
              <w:snapToGrid w:val="0"/>
              <w:spacing w:after="0" w:line="440" w:lineRule="exact"/>
              <w:ind w:left="0" w:leftChars="0" w:firstLine="0" w:firstLineChars="0"/>
              <w:jc w:val="left"/>
              <w:textAlignment w:val="auto"/>
              <w:rPr>
                <w:color w:val="auto"/>
                <w:highlight w:val="none"/>
              </w:rPr>
            </w:pPr>
            <w:r>
              <w:rPr>
                <w:rFonts w:hint="eastAsia" w:ascii="宋体" w:hAnsi="宋体" w:cs="宋体"/>
                <w:color w:val="auto"/>
                <w:szCs w:val="21"/>
                <w:highlight w:val="none"/>
              </w:rPr>
              <w:t>B</w:t>
            </w:r>
            <w:r>
              <w:rPr>
                <w:rFonts w:hint="eastAsia" w:ascii="宋体" w:hAnsi="宋体" w:cs="宋体"/>
                <w:color w:val="auto"/>
                <w:kern w:val="0"/>
                <w:szCs w:val="21"/>
                <w:highlight w:val="none"/>
              </w:rPr>
              <w:t>值</w:t>
            </w:r>
            <w:r>
              <w:rPr>
                <w:rFonts w:hint="eastAsia" w:ascii="宋体" w:hAnsi="宋体" w:cs="宋体"/>
                <w:color w:val="auto"/>
                <w:szCs w:val="21"/>
                <w:highlight w:val="none"/>
              </w:rPr>
              <w:t>为计算范围内有效投标人报价的算术平均值。</w:t>
            </w:r>
          </w:p>
        </w:tc>
      </w:tr>
    </w:tbl>
    <w:p>
      <w:pPr>
        <w:keepNext w:val="0"/>
        <w:keepLines w:val="0"/>
        <w:pageBreakBefore w:val="0"/>
        <w:widowControl w:val="0"/>
        <w:kinsoku/>
        <w:wordWrap/>
        <w:overflowPunct/>
        <w:topLinePunct w:val="0"/>
        <w:autoSpaceDE/>
        <w:autoSpaceDN/>
        <w:bidi w:val="0"/>
        <w:spacing w:line="400" w:lineRule="exact"/>
        <w:ind w:firstLine="422" w:firstLineChars="200"/>
        <w:textAlignment w:val="auto"/>
        <w:rPr>
          <w:rFonts w:hint="eastAsia" w:ascii="黑体" w:hAnsi="黑体" w:eastAsia="黑体" w:cs="黑体"/>
          <w:b/>
          <w:color w:val="auto"/>
          <w:szCs w:val="21"/>
          <w:highlight w:val="none"/>
        </w:rPr>
      </w:pPr>
      <w:bookmarkStart w:id="746" w:name="_Toc506107324"/>
      <w:bookmarkStart w:id="747" w:name="_Toc246996975"/>
      <w:bookmarkStart w:id="748" w:name="_Toc78803381"/>
      <w:bookmarkStart w:id="749" w:name="_Toc15058913"/>
      <w:bookmarkStart w:id="750" w:name="_Toc246996232"/>
      <w:bookmarkStart w:id="751" w:name="_Toc152045589"/>
      <w:bookmarkStart w:id="752" w:name="_Toc6491"/>
      <w:bookmarkStart w:id="753" w:name="_Toc152042366"/>
      <w:bookmarkStart w:id="754" w:name="_Toc35425113"/>
      <w:bookmarkStart w:id="755" w:name="_Toc179632607"/>
      <w:bookmarkStart w:id="756" w:name="_Toc144974556"/>
      <w:bookmarkStart w:id="757" w:name="_Toc324404872"/>
      <w:bookmarkStart w:id="758" w:name="_Toc247085747"/>
      <w:bookmarkStart w:id="759" w:name="_Toc35424947"/>
      <w:r>
        <w:rPr>
          <w:rFonts w:hint="eastAsia" w:ascii="黑体" w:hAnsi="黑体" w:eastAsia="黑体" w:cs="黑体"/>
          <w:b/>
          <w:color w:val="auto"/>
          <w:szCs w:val="21"/>
          <w:highlight w:val="none"/>
        </w:rPr>
        <w:t>商务标评审表注：</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rPr>
          <w:rFonts w:hint="eastAsia" w:ascii="黑体" w:hAnsi="黑体" w:eastAsia="黑体" w:cs="黑体"/>
          <w:b/>
          <w:bCs/>
          <w:color w:val="auto"/>
          <w:szCs w:val="21"/>
          <w:highlight w:val="none"/>
          <w:u w:val="single"/>
        </w:rPr>
      </w:pPr>
      <w:r>
        <w:rPr>
          <w:rFonts w:hint="eastAsia" w:ascii="黑体" w:hAnsi="黑体" w:eastAsia="黑体" w:cs="黑体"/>
          <w:b/>
          <w:color w:val="auto"/>
          <w:szCs w:val="21"/>
          <w:highlight w:val="none"/>
          <w:lang w:eastAsia="zh-CN"/>
        </w:rPr>
        <w:t>（</w:t>
      </w:r>
      <w:r>
        <w:rPr>
          <w:rFonts w:hint="eastAsia" w:ascii="黑体" w:hAnsi="黑体" w:eastAsia="黑体" w:cs="黑体"/>
          <w:b/>
          <w:color w:val="auto"/>
          <w:szCs w:val="21"/>
          <w:highlight w:val="none"/>
          <w:lang w:val="en-US" w:eastAsia="zh-CN"/>
        </w:rPr>
        <w:t>1</w:t>
      </w:r>
      <w:r>
        <w:rPr>
          <w:rFonts w:hint="eastAsia" w:ascii="黑体" w:hAnsi="黑体" w:eastAsia="黑体" w:cs="黑体"/>
          <w:b/>
          <w:color w:val="auto"/>
          <w:szCs w:val="21"/>
          <w:highlight w:val="none"/>
          <w:lang w:eastAsia="zh-CN"/>
        </w:rPr>
        <w:t>）</w:t>
      </w:r>
      <w:r>
        <w:rPr>
          <w:rFonts w:hint="eastAsia" w:ascii="黑体" w:hAnsi="黑体" w:eastAsia="黑体" w:cs="黑体"/>
          <w:b/>
          <w:bCs/>
          <w:color w:val="auto"/>
          <w:szCs w:val="21"/>
          <w:highlight w:val="none"/>
        </w:rPr>
        <w:t>投标人总报价如超过A值，A值=</w:t>
      </w:r>
      <w:r>
        <w:rPr>
          <w:rFonts w:hint="eastAsia" w:ascii="黑体" w:hAnsi="黑体" w:eastAsia="黑体" w:cs="黑体"/>
          <w:b/>
          <w:bCs/>
          <w:color w:val="auto"/>
          <w:szCs w:val="21"/>
          <w:highlight w:val="none"/>
          <w:u w:val="single"/>
        </w:rPr>
        <w:t>最高投标限价×（1-J） +（暂列金额+暂估价）×1.09×J（其中J=</w:t>
      </w:r>
      <w:r>
        <w:rPr>
          <w:rFonts w:hint="eastAsia" w:ascii="黑体" w:hAnsi="黑体" w:eastAsia="黑体" w:cs="黑体"/>
          <w:b/>
          <w:bCs/>
          <w:color w:val="auto"/>
          <w:szCs w:val="21"/>
          <w:highlight w:val="none"/>
          <w:u w:val="single"/>
          <w:lang w:val="en-US" w:eastAsia="zh-CN"/>
        </w:rPr>
        <w:t>8</w:t>
      </w:r>
      <w:r>
        <w:rPr>
          <w:rFonts w:hint="eastAsia" w:ascii="黑体" w:hAnsi="黑体" w:eastAsia="黑体" w:cs="黑体"/>
          <w:b/>
          <w:bCs/>
          <w:color w:val="auto"/>
          <w:szCs w:val="21"/>
          <w:highlight w:val="none"/>
          <w:u w:val="single"/>
        </w:rPr>
        <w:t xml:space="preserve">%），则商务标不得分，且该投标报价不参与B值计算。 </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w:t>
      </w:r>
      <w:r>
        <w:rPr>
          <w:rFonts w:hint="eastAsia" w:ascii="宋体" w:hAnsi="宋体" w:cs="宋体"/>
          <w:color w:val="auto"/>
          <w:szCs w:val="21"/>
          <w:highlight w:val="none"/>
        </w:rPr>
        <w:t>只有通过详细评审的有效投标人才能参加商务报价评分。</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w:t>
      </w:r>
      <w:r>
        <w:rPr>
          <w:rFonts w:hint="eastAsia" w:ascii="宋体" w:hAnsi="宋体" w:cs="宋体"/>
          <w:color w:val="auto"/>
          <w:szCs w:val="21"/>
          <w:highlight w:val="none"/>
        </w:rPr>
        <w:t>本表所称投标报价是指按招标文件规定修正后的投标总报价（多算投标报价、多报费用不扣减）。</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lang w:eastAsia="zh-CN"/>
        </w:rPr>
        <w:t>）</w:t>
      </w:r>
      <w:r>
        <w:rPr>
          <w:rFonts w:hint="eastAsia" w:ascii="宋体" w:hAnsi="宋体" w:cs="宋体"/>
          <w:color w:val="auto"/>
          <w:szCs w:val="21"/>
          <w:highlight w:val="none"/>
        </w:rPr>
        <w:t>B值计算方法：计算范围内有效投标人报价的算术平均值。</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1.评标方法</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bookmarkStart w:id="760" w:name="_Toc35425114"/>
      <w:bookmarkStart w:id="761" w:name="_Toc78803382"/>
      <w:bookmarkStart w:id="762" w:name="_Toc11945"/>
      <w:bookmarkStart w:id="763" w:name="_Toc506107325"/>
      <w:bookmarkStart w:id="764" w:name="_Toc324404873"/>
      <w:bookmarkStart w:id="765" w:name="_Toc15058914"/>
      <w:bookmarkStart w:id="766" w:name="_Toc35424948"/>
      <w:bookmarkStart w:id="767" w:name="_Toc152045590"/>
      <w:bookmarkStart w:id="768" w:name="_Toc247085748"/>
      <w:bookmarkStart w:id="769" w:name="_Toc152042367"/>
      <w:bookmarkStart w:id="770" w:name="_Toc246996233"/>
      <w:bookmarkStart w:id="771" w:name="_Toc179632608"/>
      <w:bookmarkStart w:id="772" w:name="_Toc296602478"/>
      <w:bookmarkStart w:id="773" w:name="_Toc144974557"/>
      <w:bookmarkStart w:id="774" w:name="_Toc246996976"/>
      <w:r>
        <w:rPr>
          <w:rFonts w:hint="eastAsia" w:ascii="宋体" w:hAnsi="宋体" w:eastAsia="宋体" w:cs="宋体"/>
          <w:color w:val="auto"/>
          <w:szCs w:val="21"/>
          <w:highlight w:val="none"/>
        </w:rPr>
        <w:t>本次评标采用综合评估法。评标委员会对满足招标文件实质性要求的投标文件，按照本章规定的评分标准进行打分，并按总得分由高到低顺序推荐中标候选人3名，并标明排序，但投标报价低于其成本的除外。如总得分相等，以投标报价低的优先，投标报价仍相等，由评标委员会主任委员或招标人随机抽取确定排名。</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2.评标委员会的职责</w:t>
      </w:r>
      <w:bookmarkEnd w:id="760"/>
      <w:bookmarkEnd w:id="761"/>
      <w:bookmarkEnd w:id="762"/>
      <w:bookmarkEnd w:id="763"/>
      <w:bookmarkEnd w:id="764"/>
      <w:bookmarkEnd w:id="765"/>
      <w:bookmarkEnd w:id="766"/>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委员会应当根据本评标办法，应进行系统地评审和比较，向招标人推荐中标候选人或根据招标人的授权直接确定中标人。各评委必须独立评审，提出评审意见，不受任何单位或者个人的干预。各评委对其各自评审结果负责，并在评标报告上签字确认。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cs="宋体"/>
          <w:color w:val="auto"/>
          <w:szCs w:val="21"/>
          <w:highlight w:val="none"/>
        </w:rPr>
      </w:pPr>
      <w:bookmarkStart w:id="775" w:name="_Toc15058915"/>
      <w:bookmarkStart w:id="776" w:name="_Toc324404874"/>
      <w:bookmarkStart w:id="777" w:name="_Toc78803384"/>
      <w:bookmarkStart w:id="778" w:name="_Toc35424949"/>
      <w:bookmarkStart w:id="779" w:name="_Toc17377"/>
      <w:bookmarkStart w:id="780" w:name="_Toc35425115"/>
      <w:bookmarkStart w:id="781" w:name="_Toc506107326"/>
      <w:r>
        <w:rPr>
          <w:rFonts w:hint="eastAsia" w:ascii="宋体" w:hAnsi="宋体" w:cs="宋体"/>
          <w:color w:val="auto"/>
          <w:szCs w:val="21"/>
          <w:highlight w:val="none"/>
        </w:rPr>
        <w:t>评标委员会应加强对报价合理性审查。评标评审委员会认为拟推荐的中标候选人的报价明显低于其他通过符合性审查投标人的报价，存在异常低价，有可能影响项目质量或者不能诚信履约的，应当要求投标人在评标现场合理的时间内提供书面说明，必要时提交相关证明材料；投标人不能证明其报价合理性的，或评标委员会认定其存在履约及质量安全风险的，评标评审委员会应当将其作为无效投标处理。</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3.评标程序</w:t>
      </w:r>
      <w:bookmarkEnd w:id="775"/>
      <w:bookmarkEnd w:id="776"/>
      <w:bookmarkEnd w:id="777"/>
      <w:bookmarkEnd w:id="778"/>
      <w:bookmarkEnd w:id="779"/>
      <w:bookmarkEnd w:id="780"/>
      <w:bookmarkEnd w:id="781"/>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评标先做准备工作，先进行资信</w:t>
      </w:r>
      <w:r>
        <w:rPr>
          <w:rFonts w:hint="eastAsia" w:ascii="宋体" w:hAnsi="宋体" w:cs="宋体"/>
          <w:color w:val="auto"/>
          <w:szCs w:val="21"/>
          <w:highlight w:val="none"/>
          <w:lang w:val="en-US" w:eastAsia="zh-CN"/>
        </w:rPr>
        <w:t>评审</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然</w:t>
      </w:r>
      <w:r>
        <w:rPr>
          <w:rFonts w:hint="eastAsia" w:ascii="宋体" w:hAnsi="宋体" w:cs="宋体"/>
          <w:color w:val="auto"/>
          <w:szCs w:val="21"/>
          <w:highlight w:val="none"/>
        </w:rPr>
        <w:t>后进行商务标评审。</w:t>
      </w:r>
    </w:p>
    <w:p>
      <w:pPr>
        <w:pStyle w:val="4"/>
        <w:pageBreakBefore w:val="0"/>
        <w:widowControl w:val="0"/>
        <w:kinsoku/>
        <w:wordWrap/>
        <w:overflowPunct/>
        <w:topLinePunct w:val="0"/>
        <w:autoSpaceDE/>
        <w:autoSpaceDN/>
        <w:bidi w:val="0"/>
        <w:spacing w:line="400" w:lineRule="exact"/>
        <w:ind w:firstLine="422" w:firstLineChars="200"/>
        <w:textAlignment w:val="auto"/>
        <w:rPr>
          <w:rFonts w:ascii="宋体" w:hAnsi="宋体" w:eastAsia="宋体" w:cs="宋体"/>
          <w:color w:val="auto"/>
          <w:highlight w:val="none"/>
        </w:rPr>
      </w:pPr>
      <w:bookmarkStart w:id="782" w:name="_Toc35425116"/>
      <w:bookmarkStart w:id="783" w:name="_Toc35424950"/>
      <w:bookmarkStart w:id="784" w:name="_Toc78803385"/>
      <w:bookmarkStart w:id="785" w:name="_Toc27389"/>
      <w:bookmarkStart w:id="786" w:name="_Toc15058916"/>
      <w:r>
        <w:rPr>
          <w:rFonts w:hint="eastAsia" w:ascii="宋体" w:hAnsi="宋体" w:eastAsia="宋体" w:cs="宋体"/>
          <w:color w:val="auto"/>
          <w:highlight w:val="none"/>
        </w:rPr>
        <w:t>3.1评标准备工作</w:t>
      </w:r>
      <w:bookmarkEnd w:id="782"/>
      <w:bookmarkEnd w:id="783"/>
      <w:bookmarkEnd w:id="784"/>
      <w:bookmarkEnd w:id="785"/>
      <w:bookmarkEnd w:id="786"/>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评标委员会熟悉评标工作情况：</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（1）阅读由招标人或者其委托的工程代理机构编制的招标项目情况材料。</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（2）阅读、研究招标文件和相关评标资料，获取评标所需要的重要信息和数据，至少应了解和熟悉以下内容：招标项目的范围和性质，招标文件规定的主要技术要求、标准和商务条款。</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（3）熟悉招标文件规定的评标标准和评标方法及在评标过程中需要考虑的相关因素。</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（4）核对评标工作用表。</w:t>
      </w:r>
    </w:p>
    <w:p>
      <w:pPr>
        <w:pStyle w:val="4"/>
        <w:pageBreakBefore w:val="0"/>
        <w:widowControl w:val="0"/>
        <w:kinsoku/>
        <w:wordWrap/>
        <w:overflowPunct/>
        <w:topLinePunct w:val="0"/>
        <w:autoSpaceDE/>
        <w:autoSpaceDN/>
        <w:bidi w:val="0"/>
        <w:spacing w:line="400" w:lineRule="exact"/>
        <w:ind w:firstLine="422" w:firstLineChars="200"/>
        <w:textAlignment w:val="auto"/>
        <w:rPr>
          <w:rFonts w:hint="eastAsia" w:ascii="宋体" w:hAnsi="宋体" w:eastAsia="宋体" w:cs="宋体"/>
          <w:color w:val="auto"/>
          <w:highlight w:val="none"/>
          <w:lang w:eastAsia="zh-CN"/>
        </w:rPr>
      </w:pPr>
      <w:bookmarkStart w:id="787" w:name="_Toc15058917"/>
      <w:bookmarkStart w:id="788" w:name="_Toc24650"/>
      <w:bookmarkStart w:id="789" w:name="_Toc1299"/>
      <w:bookmarkStart w:id="790" w:name="_Toc35424951"/>
      <w:bookmarkStart w:id="791" w:name="_Toc78803386"/>
      <w:bookmarkStart w:id="792" w:name="_Toc35425117"/>
      <w:bookmarkStart w:id="793" w:name="_Toc324404875"/>
      <w:bookmarkStart w:id="794" w:name="_Toc15058919"/>
      <w:bookmarkStart w:id="795" w:name="_Toc506107327"/>
      <w:bookmarkStart w:id="796" w:name="_Toc12200"/>
      <w:bookmarkStart w:id="797" w:name="_Toc35425120"/>
      <w:bookmarkStart w:id="798" w:name="_Toc35424954"/>
      <w:r>
        <w:rPr>
          <w:rFonts w:hint="eastAsia" w:ascii="宋体" w:hAnsi="宋体" w:eastAsia="宋体" w:cs="宋体"/>
          <w:color w:val="auto"/>
          <w:highlight w:val="none"/>
        </w:rPr>
        <w:t>3.2技术标评审</w:t>
      </w:r>
      <w:bookmarkEnd w:id="787"/>
      <w:bookmarkEnd w:id="788"/>
      <w:bookmarkEnd w:id="789"/>
      <w:bookmarkEnd w:id="790"/>
      <w:bookmarkEnd w:id="791"/>
      <w:bookmarkEnd w:id="792"/>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本项目不采用</w:t>
      </w:r>
      <w:r>
        <w:rPr>
          <w:rFonts w:hint="eastAsia" w:ascii="宋体" w:hAnsi="宋体" w:eastAsia="宋体" w:cs="宋体"/>
          <w:color w:val="auto"/>
          <w:highlight w:val="none"/>
          <w:lang w:eastAsia="zh-CN"/>
        </w:rPr>
        <w:t>）</w:t>
      </w:r>
    </w:p>
    <w:p>
      <w:pPr>
        <w:pageBreakBefore w:val="0"/>
        <w:widowControl w:val="0"/>
        <w:kinsoku/>
        <w:wordWrap/>
        <w:overflowPunct/>
        <w:topLinePunct w:val="0"/>
        <w:autoSpaceDE/>
        <w:autoSpaceDN/>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详见技术标评审表。</w:t>
      </w:r>
    </w:p>
    <w:p>
      <w:pPr>
        <w:pStyle w:val="4"/>
        <w:pageBreakBefore w:val="0"/>
        <w:widowControl w:val="0"/>
        <w:kinsoku/>
        <w:wordWrap/>
        <w:overflowPunct/>
        <w:topLinePunct w:val="0"/>
        <w:autoSpaceDE/>
        <w:autoSpaceDN/>
        <w:bidi w:val="0"/>
        <w:spacing w:line="400" w:lineRule="exact"/>
        <w:ind w:firstLine="422" w:firstLineChars="200"/>
        <w:textAlignment w:val="auto"/>
        <w:rPr>
          <w:rFonts w:ascii="宋体" w:hAnsi="宋体" w:eastAsia="宋体" w:cs="宋体"/>
          <w:color w:val="auto"/>
          <w:highlight w:val="none"/>
        </w:rPr>
      </w:pPr>
      <w:bookmarkStart w:id="799" w:name="_Toc35425118"/>
      <w:bookmarkStart w:id="800" w:name="_Toc11990"/>
      <w:bookmarkStart w:id="801" w:name="_Toc35424952"/>
      <w:bookmarkStart w:id="802" w:name="_Toc15058918"/>
      <w:bookmarkStart w:id="803" w:name="_Toc17468"/>
      <w:bookmarkStart w:id="804" w:name="_Toc78803387"/>
      <w:r>
        <w:rPr>
          <w:rFonts w:hint="eastAsia" w:ascii="宋体" w:hAnsi="宋体" w:eastAsia="宋体" w:cs="宋体"/>
          <w:color w:val="auto"/>
          <w:highlight w:val="none"/>
        </w:rPr>
        <w:t>3.3商务标评审</w:t>
      </w:r>
      <w:bookmarkEnd w:id="799"/>
      <w:bookmarkEnd w:id="800"/>
      <w:bookmarkEnd w:id="801"/>
      <w:bookmarkEnd w:id="802"/>
      <w:bookmarkEnd w:id="803"/>
      <w:bookmarkEnd w:id="804"/>
    </w:p>
    <w:p>
      <w:pPr>
        <w:pageBreakBefore w:val="0"/>
        <w:widowControl w:val="0"/>
        <w:kinsoku/>
        <w:wordWrap/>
        <w:overflowPunct/>
        <w:topLinePunct w:val="0"/>
        <w:autoSpaceDE/>
        <w:autoSpaceDN/>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详见商务标评审表。</w:t>
      </w:r>
    </w:p>
    <w:p>
      <w:pPr>
        <w:pageBreakBefore w:val="0"/>
        <w:widowControl w:val="0"/>
        <w:kinsoku/>
        <w:wordWrap/>
        <w:overflowPunct/>
        <w:topLinePunct w:val="0"/>
        <w:autoSpaceDE/>
        <w:autoSpaceDN/>
        <w:bidi w:val="0"/>
        <w:spacing w:line="400" w:lineRule="exact"/>
        <w:ind w:firstLine="422" w:firstLineChars="200"/>
        <w:jc w:val="left"/>
        <w:textAlignment w:val="auto"/>
        <w:rPr>
          <w:rStyle w:val="198"/>
          <w:rFonts w:hint="eastAsia" w:ascii="宋体" w:hAnsi="宋体" w:eastAsia="宋体" w:cs="宋体"/>
          <w:color w:val="auto"/>
          <w:highlight w:val="none"/>
        </w:rPr>
      </w:pPr>
      <w:bookmarkStart w:id="805" w:name="_Toc35425119"/>
      <w:bookmarkStart w:id="806" w:name="_Toc78803388"/>
      <w:bookmarkStart w:id="807" w:name="_Toc26895"/>
      <w:bookmarkStart w:id="808" w:name="_Toc18087"/>
      <w:bookmarkStart w:id="809" w:name="_Toc35424953"/>
      <w:r>
        <w:rPr>
          <w:rStyle w:val="198"/>
          <w:rFonts w:hint="eastAsia" w:ascii="宋体" w:hAnsi="宋体" w:eastAsia="宋体" w:cs="宋体"/>
          <w:color w:val="auto"/>
          <w:highlight w:val="none"/>
        </w:rPr>
        <w:t>3.4推荐中标候选人</w:t>
      </w:r>
      <w:bookmarkEnd w:id="805"/>
      <w:bookmarkEnd w:id="806"/>
      <w:bookmarkEnd w:id="807"/>
      <w:bookmarkEnd w:id="808"/>
      <w:bookmarkEnd w:id="809"/>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资信评审、商务标评审后，推荐</w:t>
      </w:r>
      <w:r>
        <w:rPr>
          <w:rFonts w:hint="eastAsia" w:ascii="宋体" w:hAnsi="宋体" w:cs="宋体"/>
          <w:color w:val="auto"/>
          <w:szCs w:val="21"/>
          <w:highlight w:val="none"/>
          <w:u w:val="single"/>
        </w:rPr>
        <w:t>3</w:t>
      </w:r>
      <w:r>
        <w:rPr>
          <w:rFonts w:hint="eastAsia" w:ascii="宋体" w:hAnsi="宋体" w:cs="宋体"/>
          <w:color w:val="auto"/>
          <w:szCs w:val="21"/>
          <w:highlight w:val="none"/>
        </w:rPr>
        <w:t>名中标候选人，并标明排序。</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bookmarkStart w:id="810" w:name="_Toc78803389"/>
      <w:r>
        <w:rPr>
          <w:rFonts w:hint="eastAsia" w:ascii="宋体" w:hAnsi="宋体" w:eastAsia="宋体" w:cs="宋体"/>
          <w:color w:val="auto"/>
          <w:highlight w:val="none"/>
        </w:rPr>
        <w:t>4.评审内容</w:t>
      </w:r>
      <w:bookmarkEnd w:id="793"/>
      <w:bookmarkEnd w:id="794"/>
      <w:bookmarkEnd w:id="795"/>
      <w:bookmarkEnd w:id="796"/>
      <w:bookmarkEnd w:id="797"/>
      <w:bookmarkEnd w:id="798"/>
      <w:bookmarkEnd w:id="810"/>
    </w:p>
    <w:p>
      <w:pPr>
        <w:pStyle w:val="4"/>
        <w:pageBreakBefore w:val="0"/>
        <w:widowControl w:val="0"/>
        <w:kinsoku/>
        <w:wordWrap/>
        <w:overflowPunct/>
        <w:topLinePunct w:val="0"/>
        <w:autoSpaceDE/>
        <w:autoSpaceDN/>
        <w:bidi w:val="0"/>
        <w:spacing w:line="400" w:lineRule="exact"/>
        <w:ind w:firstLine="422" w:firstLineChars="200"/>
        <w:textAlignment w:val="auto"/>
        <w:rPr>
          <w:rFonts w:ascii="宋体" w:hAnsi="宋体" w:eastAsia="宋体" w:cs="宋体"/>
          <w:color w:val="auto"/>
          <w:highlight w:val="none"/>
        </w:rPr>
      </w:pPr>
      <w:bookmarkStart w:id="811" w:name="_Toc78803390"/>
      <w:bookmarkStart w:id="812" w:name="_Toc9630"/>
      <w:r>
        <w:rPr>
          <w:rFonts w:hint="eastAsia" w:ascii="宋体" w:hAnsi="宋体" w:eastAsia="宋体" w:cs="宋体"/>
          <w:color w:val="auto"/>
          <w:highlight w:val="none"/>
        </w:rPr>
        <w:t>4.1</w:t>
      </w:r>
      <w:bookmarkEnd w:id="811"/>
      <w:bookmarkEnd w:id="812"/>
      <w:bookmarkStart w:id="813" w:name="_Toc15058921"/>
      <w:bookmarkStart w:id="814" w:name="_Toc35424956"/>
      <w:bookmarkStart w:id="815" w:name="_Toc78803391"/>
      <w:bookmarkStart w:id="816" w:name="_Toc3531"/>
      <w:bookmarkStart w:id="817" w:name="_Toc35425122"/>
      <w:bookmarkStart w:id="818" w:name="_Toc324404876"/>
      <w:r>
        <w:rPr>
          <w:rFonts w:hint="eastAsia" w:ascii="宋体" w:hAnsi="宋体" w:eastAsia="宋体" w:cs="宋体"/>
          <w:color w:val="auto"/>
          <w:highlight w:val="none"/>
        </w:rPr>
        <w:t>商务标评审</w:t>
      </w:r>
      <w:bookmarkEnd w:id="813"/>
      <w:bookmarkEnd w:id="814"/>
      <w:bookmarkEnd w:id="815"/>
      <w:bookmarkEnd w:id="816"/>
      <w:bookmarkEnd w:id="817"/>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highlight w:val="none"/>
        </w:rPr>
      </w:pPr>
      <w:r>
        <w:rPr>
          <w:rFonts w:hint="eastAsia" w:ascii="宋体" w:hAnsi="宋体" w:cs="宋体"/>
          <w:color w:val="auto"/>
          <w:highlight w:val="none"/>
        </w:rPr>
        <w:t>只有通过</w:t>
      </w:r>
      <w:r>
        <w:rPr>
          <w:rFonts w:hint="eastAsia" w:ascii="宋体" w:hAnsi="宋体" w:cs="宋体"/>
          <w:color w:val="auto"/>
          <w:highlight w:val="none"/>
          <w:lang w:val="en-US" w:eastAsia="zh-CN"/>
        </w:rPr>
        <w:t>资信</w:t>
      </w:r>
      <w:r>
        <w:rPr>
          <w:rFonts w:hint="eastAsia" w:ascii="宋体" w:hAnsi="宋体" w:cs="宋体"/>
          <w:color w:val="auto"/>
          <w:highlight w:val="none"/>
        </w:rPr>
        <w:t>标评审的投标才能够进入本阶段评审。</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highlight w:val="none"/>
        </w:rPr>
      </w:pPr>
      <w:r>
        <w:rPr>
          <w:rFonts w:hint="eastAsia" w:ascii="宋体" w:hAnsi="宋体" w:cs="宋体"/>
          <w:color w:val="auto"/>
          <w:highlight w:val="none"/>
        </w:rPr>
        <w:t>4.1.1形式性评审标准：见商务标评审表。</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highlight w:val="none"/>
        </w:rPr>
      </w:pPr>
      <w:r>
        <w:rPr>
          <w:rFonts w:hint="eastAsia" w:ascii="宋体" w:hAnsi="宋体" w:cs="宋体"/>
          <w:color w:val="auto"/>
          <w:highlight w:val="none"/>
        </w:rPr>
        <w:t>4.1.2响应性评审标准：见商务标评审表。</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highlight w:val="none"/>
        </w:rPr>
      </w:pPr>
      <w:r>
        <w:rPr>
          <w:rFonts w:hint="eastAsia" w:ascii="宋体" w:hAnsi="宋体" w:cs="宋体"/>
          <w:color w:val="auto"/>
          <w:highlight w:val="none"/>
        </w:rPr>
        <w:t>评标委员会依据上述标准对投标文件进行初步评审。有一项不符合评审标准的，作无效投标处理。</w:t>
      </w:r>
    </w:p>
    <w:p>
      <w:pPr>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.3详细评审标准：见商务标评审表。</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highlight w:val="none"/>
        </w:rPr>
      </w:pPr>
      <w:bookmarkStart w:id="819" w:name="_Toc13125"/>
      <w:bookmarkStart w:id="820" w:name="_Toc15058922"/>
      <w:bookmarkStart w:id="821" w:name="_Toc78803392"/>
      <w:bookmarkStart w:id="822" w:name="_Toc35425123"/>
      <w:bookmarkStart w:id="823" w:name="_Toc35424957"/>
      <w:bookmarkStart w:id="824" w:name="_Toc506107328"/>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4评标委员会审查投标文件，审核并确认清标结果，包括工程投标报价的校核、审查全部数据计算的正确性、分析各种费用构成的合理性和正确性等内容，看其是否有计算或表达上的错误，投标报价有错误的，评标委员会按以下原则对投标报价进行修正。</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（1）投标文件中的大写金额与小写金额不一致的，以大写金额为准。</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（2）总价金额与依据单价计算出的结果不一致的，以单价金额为准修正总价，但单价金额小数点有明显错误的除外。</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（3）工程量清单报价表中综合单价与工程量清单项目价格分析表相对应综合单价不一致时，以工程量清单项目价格分析表中标出的综合单价为准。</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按上述修正错误的原则及方法调整或修正投标文件的投标报价，调整或修正的价格经投标人书面确认后具有约束力。中标价原则上以调整或修正后的价格为准，调整或修正后的价格与投标报价相比，价格低的为中标价。投标人不接受的，其投标将被拒绝。</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5.无效投标条款</w:t>
      </w:r>
      <w:bookmarkEnd w:id="818"/>
      <w:bookmarkEnd w:id="819"/>
      <w:bookmarkEnd w:id="820"/>
      <w:bookmarkEnd w:id="821"/>
      <w:bookmarkEnd w:id="822"/>
      <w:bookmarkEnd w:id="823"/>
      <w:bookmarkEnd w:id="824"/>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5.1投标人存在下列情形的的招标人将拒收投标文件：</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（1）未在投标截止时间前通过</w:t>
      </w:r>
      <w:r>
        <w:rPr>
          <w:rFonts w:hint="eastAsia" w:ascii="宋体" w:hAnsi="宋体" w:cs="宋体"/>
          <w:color w:val="auto"/>
          <w:szCs w:val="21"/>
          <w:highlight w:val="none"/>
          <w:lang w:val="en-US" w:eastAsia="zh-CN"/>
        </w:rPr>
        <w:t>邮箱</w:t>
      </w:r>
      <w:r>
        <w:rPr>
          <w:rFonts w:hint="eastAsia" w:ascii="宋体" w:hAnsi="宋体" w:cs="宋体"/>
          <w:color w:val="auto"/>
          <w:szCs w:val="21"/>
          <w:highlight w:val="none"/>
        </w:rPr>
        <w:t>递交有效电子投标文件的，投标将被拒绝。</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投标人有下列情形的，经评审后其投标作无效投标处理：</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.1商标评审</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评标委员会依据《商务标评审表》进行形式性评审和响应性评审。有一项不符合评审标准的，做无效投标处理；</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（2）商务标详细评审标准中有任何一项不能通过评审的，作无效投标处理。</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其他无效投标情况：</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评标委员会发现投标人的投标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其投标作无效投标处理。</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（2）按第三章《评标方法》4.</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.4条款修正错误的原则及方法调整或修正投标文件的投标报价，调整或修正的价格经投标人书面确认后具有约束力。投标人不接修正价格的，其投标将被拒绝。</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）投标人有串通投标、视为串通投标、弄虚作假、行贿等违法行为。</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）投标文件没有对招标文件的实质性要求和条件作出响应。</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）未按规定的格式填写导致实质性内容不全以及实质上不响应，或者关键字迹模糊、无法辨认的。</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）同一投标人提交两个以上不同的投标文件或者投标报价，但招标文件规定提交备选投标的除外。</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）投标文件中存在招标人不能接受的其他实质性条件。</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）投标文件中填报的拟任项目经理（建造师）与资格审查通过的项目经理（建造师）前后不一致的。</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）投标人拒不按照要求对投标文件进行澄清、说明、补正的，或评标委员会根据招标文件的规定对招标文件的计算错误进行修正后，投标人不接受修正的投标报价的。</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）投标人单方面出现其他投标人材料。</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）投标人联系人或联系电话相同的。</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法律、法规规定的其他情形。</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bookmarkStart w:id="825" w:name="_Toc35425124"/>
      <w:bookmarkStart w:id="826" w:name="_Toc15058923"/>
      <w:bookmarkStart w:id="827" w:name="_Toc27846"/>
      <w:bookmarkStart w:id="828" w:name="_Toc324404877"/>
      <w:bookmarkStart w:id="829" w:name="_Toc506107329"/>
      <w:bookmarkStart w:id="830" w:name="_Toc78803393"/>
      <w:bookmarkStart w:id="831" w:name="_Toc35424958"/>
      <w:r>
        <w:rPr>
          <w:rFonts w:hint="eastAsia" w:ascii="宋体" w:hAnsi="宋体" w:eastAsia="宋体" w:cs="宋体"/>
          <w:color w:val="auto"/>
          <w:highlight w:val="none"/>
        </w:rPr>
        <w:t>6.投标文件的澄清和补正</w:t>
      </w:r>
      <w:bookmarkEnd w:id="825"/>
      <w:bookmarkEnd w:id="826"/>
      <w:bookmarkEnd w:id="827"/>
      <w:bookmarkEnd w:id="828"/>
      <w:bookmarkEnd w:id="829"/>
      <w:bookmarkEnd w:id="830"/>
      <w:bookmarkEnd w:id="831"/>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6.1在评标过程中，评标委员会可以要求投标人对所提交的投标文件中不明确的内容进行书面澄清或说明，或者对细微偏差进行补正。评标委员会不接受投标人主动提出的澄清、说明或补正。</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6.2澄清、说明和补正不得改变投标文件的实质性内容（算术性错误修正的除外）。投标人的书面澄清、说明和补正属于投标文件的组成部分。</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6.3评标委员会对投标人提交的澄清、说明和补正有疑问的，可以要求投标人进一步澄清、说明或补正、直至满足评标委员会的要求。</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按照投标文件规定进行澄清、补正后的投标报价经投标人的法定代表人或其委托代理人确认后即为该投标人的最终投标报价。投标人一旦中标，此报价即为中标价。</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bookmarkStart w:id="832" w:name="_Toc35425125"/>
      <w:bookmarkStart w:id="833" w:name="_Toc35424959"/>
      <w:bookmarkStart w:id="834" w:name="_Toc78803394"/>
      <w:bookmarkStart w:id="835" w:name="_Toc13990"/>
      <w:bookmarkStart w:id="836" w:name="_Toc15058924"/>
      <w:bookmarkStart w:id="837" w:name="_Toc506107330"/>
      <w:bookmarkStart w:id="838" w:name="_Toc324404878"/>
      <w:r>
        <w:rPr>
          <w:rFonts w:hint="eastAsia" w:ascii="宋体" w:hAnsi="宋体" w:eastAsia="宋体" w:cs="宋体"/>
          <w:color w:val="auto"/>
          <w:highlight w:val="none"/>
        </w:rPr>
        <w:t>7.评分标准</w:t>
      </w:r>
      <w:bookmarkEnd w:id="832"/>
      <w:bookmarkEnd w:id="833"/>
      <w:bookmarkEnd w:id="834"/>
      <w:bookmarkEnd w:id="835"/>
      <w:bookmarkEnd w:id="836"/>
      <w:bookmarkEnd w:id="837"/>
      <w:bookmarkEnd w:id="838"/>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商务标评分标准：见商务标评审表。</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bookmarkStart w:id="839" w:name="_Toc506107331"/>
      <w:bookmarkStart w:id="840" w:name="_Toc22863"/>
      <w:bookmarkStart w:id="841" w:name="_Toc324404879"/>
      <w:bookmarkStart w:id="842" w:name="_Toc15058925"/>
      <w:bookmarkStart w:id="843" w:name="_Toc78803395"/>
      <w:bookmarkStart w:id="844" w:name="_Toc35425126"/>
      <w:bookmarkStart w:id="845" w:name="_Toc35424960"/>
      <w:r>
        <w:rPr>
          <w:rFonts w:hint="eastAsia" w:ascii="宋体" w:hAnsi="宋体" w:eastAsia="宋体" w:cs="宋体"/>
          <w:color w:val="auto"/>
          <w:highlight w:val="none"/>
        </w:rPr>
        <w:t>8.评审结果</w:t>
      </w:r>
      <w:bookmarkEnd w:id="839"/>
      <w:bookmarkEnd w:id="840"/>
      <w:bookmarkEnd w:id="841"/>
      <w:bookmarkEnd w:id="842"/>
      <w:bookmarkEnd w:id="843"/>
      <w:bookmarkEnd w:id="844"/>
      <w:bookmarkEnd w:id="845"/>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8.1除投标人须知前附表授权直接确定中标人外，评标委员会按照总得分由高到低顺序推荐中标候选人。</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8.2评标委员会完成评标后，应当向招标人提交书面评标报告。评标报告应当如实记载以下内容：</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（1）基本情况和数据表。</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（2）评标委员会成员名单。</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（3）开标记录。</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（4）符合要求的投标人一览表。</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（5）否决投标情况说明。</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（6）评标标准、评标方法或者评标因素。</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（7）评标情况一览表。</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（8）经评审的投标人排序。</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（9）推荐的中标候选人名单与签订合同前要处理的事宜。</w:t>
      </w:r>
    </w:p>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（10）澄清、说明、补正事项纪要。</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Cs w:val="21"/>
          <w:highlight w:val="none"/>
        </w:rPr>
        <w:t>8.3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ageBreakBefore w:val="0"/>
        <w:widowControl w:val="0"/>
        <w:kinsoku/>
        <w:wordWrap/>
        <w:overflowPunct/>
        <w:topLinePunct w:val="0"/>
        <w:autoSpaceDE/>
        <w:autoSpaceDN/>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依法必须进行招标的项目，除第一中标候选人或者中标人以外的其他投标人存在串通投标、弄虚作假、行贿情形且在评标过程中未被发现的，视为对中标结果没有造成实质性影响，招标人可以依法继续开展招标活动。</w:t>
      </w:r>
    </w:p>
    <w:p>
      <w:pPr>
        <w:pStyle w:val="4"/>
        <w:pageBreakBefore w:val="0"/>
        <w:widowControl w:val="0"/>
        <w:kinsoku/>
        <w:wordWrap/>
        <w:overflowPunct/>
        <w:topLinePunct w:val="0"/>
        <w:autoSpaceDE/>
        <w:autoSpaceDN/>
        <w:bidi w:val="0"/>
        <w:spacing w:beforeLines="50" w:afterLines="50" w:line="400" w:lineRule="exact"/>
        <w:ind w:firstLine="422" w:firstLineChars="200"/>
        <w:textAlignment w:val="auto"/>
        <w:rPr>
          <w:rFonts w:ascii="宋体" w:hAnsi="宋体" w:eastAsia="宋体" w:cs="宋体"/>
          <w:color w:val="auto"/>
          <w:highlight w:val="none"/>
        </w:rPr>
      </w:pPr>
      <w:bookmarkStart w:id="846" w:name="_Toc506107332"/>
      <w:bookmarkStart w:id="847" w:name="_Toc15058926"/>
      <w:bookmarkStart w:id="848" w:name="_Toc1576"/>
      <w:bookmarkStart w:id="849" w:name="_Toc324404880"/>
      <w:bookmarkStart w:id="850" w:name="_Toc35425127"/>
      <w:bookmarkStart w:id="851" w:name="_Toc35424961"/>
      <w:bookmarkStart w:id="852" w:name="_Toc78803396"/>
      <w:r>
        <w:rPr>
          <w:rFonts w:hint="eastAsia" w:ascii="宋体" w:hAnsi="宋体" w:eastAsia="宋体" w:cs="宋体"/>
          <w:color w:val="auto"/>
          <w:highlight w:val="none"/>
        </w:rPr>
        <w:t>9.其他</w:t>
      </w:r>
      <w:bookmarkEnd w:id="846"/>
      <w:bookmarkEnd w:id="847"/>
      <w:bookmarkEnd w:id="848"/>
      <w:bookmarkEnd w:id="849"/>
      <w:bookmarkEnd w:id="850"/>
      <w:bookmarkEnd w:id="851"/>
      <w:bookmarkEnd w:id="852"/>
    </w:p>
    <w:bookmarkEnd w:id="767"/>
    <w:bookmarkEnd w:id="768"/>
    <w:bookmarkEnd w:id="769"/>
    <w:bookmarkEnd w:id="770"/>
    <w:bookmarkEnd w:id="771"/>
    <w:bookmarkEnd w:id="772"/>
    <w:bookmarkEnd w:id="773"/>
    <w:bookmarkEnd w:id="774"/>
    <w:p>
      <w:pPr>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auto"/>
          <w:szCs w:val="21"/>
          <w:highlight w:val="none"/>
        </w:rPr>
      </w:pPr>
      <w:bookmarkStart w:id="853" w:name="_Toc506107333"/>
      <w:bookmarkStart w:id="854" w:name="_Toc15058927"/>
      <w:bookmarkStart w:id="855" w:name="_Toc35425128"/>
      <w:bookmarkStart w:id="856" w:name="_Toc35424962"/>
      <w:bookmarkStart w:id="857" w:name="_Toc152042546"/>
      <w:bookmarkStart w:id="858" w:name="_Toc144974826"/>
      <w:bookmarkStart w:id="859" w:name="_Toc152045767"/>
      <w:bookmarkStart w:id="860" w:name="_Toc179632785"/>
      <w:r>
        <w:rPr>
          <w:rFonts w:hint="eastAsia" w:ascii="宋体" w:hAnsi="宋体" w:eastAsia="宋体" w:cs="宋体"/>
          <w:color w:val="auto"/>
          <w:szCs w:val="21"/>
          <w:highlight w:val="none"/>
        </w:rPr>
        <w:t>投标人提供的与投标文件有关的各类证书、证明、文件、资料等的真实性、合法性由投标人负全责。</w:t>
      </w:r>
    </w:p>
    <w:p>
      <w:pPr>
        <w:rPr>
          <w:color w:val="auto"/>
          <w:highlight w:val="none"/>
        </w:rPr>
      </w:pPr>
    </w:p>
    <w:p>
      <w:pPr>
        <w:rPr>
          <w:rFonts w:hint="eastAsia"/>
          <w:color w:val="auto"/>
          <w:highlight w:val="none"/>
        </w:rPr>
      </w:pPr>
      <w:r>
        <w:rPr>
          <w:rFonts w:hint="eastAsia"/>
          <w:color w:val="auto"/>
          <w:highlight w:val="none"/>
        </w:rPr>
        <w:br w:type="page"/>
      </w:r>
      <w:bookmarkStart w:id="861" w:name="_Toc78803397"/>
    </w:p>
    <w:bookmarkEnd w:id="853"/>
    <w:bookmarkEnd w:id="854"/>
    <w:bookmarkEnd w:id="855"/>
    <w:bookmarkEnd w:id="856"/>
    <w:bookmarkEnd w:id="861"/>
    <w:p>
      <w:pPr>
        <w:pStyle w:val="3"/>
        <w:rPr>
          <w:rFonts w:hint="eastAsia" w:ascii="Arial" w:hAnsi="Arial"/>
          <w:color w:val="auto"/>
          <w:kern w:val="0"/>
          <w:sz w:val="32"/>
          <w:szCs w:val="32"/>
          <w:highlight w:val="none"/>
        </w:rPr>
      </w:pPr>
      <w:bookmarkStart w:id="862" w:name="_Toc16721"/>
    </w:p>
    <w:p>
      <w:pPr>
        <w:pStyle w:val="3"/>
        <w:rPr>
          <w:color w:val="auto"/>
          <w:highlight w:val="none"/>
        </w:rPr>
      </w:pPr>
      <w:r>
        <w:rPr>
          <w:rFonts w:hint="eastAsia" w:ascii="Arial" w:hAnsi="Arial"/>
          <w:color w:val="auto"/>
          <w:kern w:val="0"/>
          <w:sz w:val="32"/>
          <w:szCs w:val="32"/>
          <w:highlight w:val="none"/>
        </w:rPr>
        <w:t>第</w:t>
      </w:r>
      <w:r>
        <w:rPr>
          <w:rFonts w:hint="eastAsia" w:ascii="Arial" w:hAnsi="Arial"/>
          <w:color w:val="auto"/>
          <w:kern w:val="0"/>
          <w:sz w:val="32"/>
          <w:szCs w:val="32"/>
          <w:highlight w:val="none"/>
          <w:lang w:val="en-US" w:eastAsia="zh-CN"/>
        </w:rPr>
        <w:t>四</w:t>
      </w:r>
      <w:r>
        <w:rPr>
          <w:rFonts w:hint="eastAsia" w:ascii="Arial" w:hAnsi="Arial"/>
          <w:color w:val="auto"/>
          <w:kern w:val="0"/>
          <w:sz w:val="32"/>
          <w:szCs w:val="32"/>
          <w:highlight w:val="none"/>
        </w:rPr>
        <w:t>章  合同条款及格式</w:t>
      </w:r>
      <w:bookmarkEnd w:id="862"/>
    </w:p>
    <w:p>
      <w:pPr>
        <w:spacing w:line="360" w:lineRule="auto"/>
        <w:jc w:val="center"/>
        <w:rPr>
          <w:rFonts w:ascii="仿宋_GB2312" w:eastAsia="仿宋_GB2312"/>
          <w:b/>
          <w:color w:val="auto"/>
          <w:sz w:val="28"/>
          <w:szCs w:val="28"/>
          <w:highlight w:val="none"/>
        </w:rPr>
      </w:pPr>
    </w:p>
    <w:p>
      <w:pPr>
        <w:adjustRightInd w:val="0"/>
        <w:snapToGrid w:val="0"/>
        <w:spacing w:line="560" w:lineRule="exact"/>
        <w:jc w:val="center"/>
        <w:rPr>
          <w:rFonts w:eastAsia="仿宋_GB2312"/>
          <w:bCs/>
          <w:color w:val="auto"/>
          <w:sz w:val="32"/>
          <w:szCs w:val="32"/>
          <w:highlight w:val="none"/>
          <w:u w:val="single"/>
        </w:rPr>
      </w:pPr>
      <w:r>
        <w:rPr>
          <w:rFonts w:hint="eastAsia" w:eastAsia="仿宋_GB2312"/>
          <w:bCs/>
          <w:color w:val="auto"/>
          <w:sz w:val="32"/>
          <w:szCs w:val="32"/>
          <w:highlight w:val="none"/>
        </w:rPr>
        <w:t>合同编号：</w:t>
      </w:r>
      <w:r>
        <w:rPr>
          <w:rFonts w:hint="eastAsia" w:eastAsia="仿宋_GB2312"/>
          <w:bCs/>
          <w:color w:val="auto"/>
          <w:sz w:val="32"/>
          <w:szCs w:val="32"/>
          <w:highlight w:val="none"/>
          <w:u w:val="single"/>
        </w:rPr>
        <w:t>（HT-YL- ）</w:t>
      </w:r>
    </w:p>
    <w:p>
      <w:pPr>
        <w:adjustRightInd w:val="0"/>
        <w:snapToGrid w:val="0"/>
        <w:spacing w:line="560" w:lineRule="exact"/>
        <w:jc w:val="center"/>
        <w:rPr>
          <w:rFonts w:eastAsia="华文中宋"/>
          <w:b/>
          <w:color w:val="auto"/>
          <w:sz w:val="52"/>
          <w:szCs w:val="52"/>
          <w:highlight w:val="none"/>
        </w:rPr>
      </w:pPr>
    </w:p>
    <w:p>
      <w:pPr>
        <w:adjustRightInd w:val="0"/>
        <w:snapToGrid w:val="0"/>
        <w:jc w:val="center"/>
        <w:rPr>
          <w:rFonts w:eastAsia="华文中宋"/>
          <w:b/>
          <w:color w:val="auto"/>
          <w:sz w:val="52"/>
          <w:szCs w:val="52"/>
          <w:highlight w:val="none"/>
        </w:rPr>
      </w:pPr>
      <w:r>
        <w:rPr>
          <w:rFonts w:hint="eastAsia" w:ascii="宋体" w:hAnsi="宋体" w:cs="宋体"/>
          <w:b/>
          <w:color w:val="auto"/>
          <w:sz w:val="72"/>
          <w:szCs w:val="52"/>
          <w:highlight w:val="none"/>
        </w:rPr>
        <w:t>施工合同</w:t>
      </w:r>
      <w:r>
        <w:rPr>
          <w:rFonts w:eastAsia="华文中宋"/>
          <w:b/>
          <w:color w:val="auto"/>
          <w:sz w:val="52"/>
          <w:szCs w:val="52"/>
          <w:highlight w:val="none"/>
        </w:rPr>
        <w:br w:type="textWrapping"/>
      </w:r>
      <w:bookmarkStart w:id="863" w:name="_Toc60061567"/>
    </w:p>
    <w:p>
      <w:pPr>
        <w:adjustRightInd w:val="0"/>
        <w:snapToGrid w:val="0"/>
        <w:spacing w:line="560" w:lineRule="exact"/>
        <w:jc w:val="center"/>
        <w:rPr>
          <w:rFonts w:eastAsia="华文中宋"/>
          <w:b/>
          <w:color w:val="auto"/>
          <w:sz w:val="52"/>
          <w:szCs w:val="52"/>
          <w:highlight w:val="none"/>
        </w:rPr>
      </w:pPr>
    </w:p>
    <w:p>
      <w:pPr>
        <w:adjustRightInd w:val="0"/>
        <w:snapToGrid w:val="0"/>
        <w:spacing w:line="560" w:lineRule="exact"/>
        <w:jc w:val="center"/>
        <w:rPr>
          <w:rFonts w:eastAsia="黑体"/>
          <w:b/>
          <w:color w:val="auto"/>
          <w:sz w:val="72"/>
          <w:szCs w:val="72"/>
          <w:highlight w:val="none"/>
        </w:rPr>
      </w:pPr>
    </w:p>
    <w:p>
      <w:pPr>
        <w:adjustRightInd w:val="0"/>
        <w:snapToGrid w:val="0"/>
        <w:spacing w:line="560" w:lineRule="exact"/>
        <w:jc w:val="center"/>
        <w:rPr>
          <w:rFonts w:hint="eastAsia" w:ascii="宋体" w:hAnsi="宋体" w:cs="宋体"/>
          <w:b/>
          <w:color w:val="auto"/>
          <w:sz w:val="54"/>
          <w:szCs w:val="72"/>
          <w:highlight w:val="none"/>
        </w:rPr>
      </w:pPr>
    </w:p>
    <w:p>
      <w:pPr>
        <w:pStyle w:val="14"/>
        <w:rPr>
          <w:color w:val="auto"/>
          <w:highlight w:val="none"/>
        </w:rPr>
      </w:pPr>
    </w:p>
    <w:p>
      <w:pPr>
        <w:adjustRightInd w:val="0"/>
        <w:snapToGrid w:val="0"/>
        <w:spacing w:line="560" w:lineRule="exact"/>
        <w:jc w:val="center"/>
        <w:rPr>
          <w:rFonts w:eastAsia="黑体"/>
          <w:b/>
          <w:color w:val="auto"/>
          <w:sz w:val="52"/>
          <w:szCs w:val="52"/>
          <w:highlight w:val="none"/>
        </w:rPr>
      </w:pPr>
    </w:p>
    <w:p>
      <w:pPr>
        <w:adjustRightInd w:val="0"/>
        <w:snapToGrid w:val="0"/>
        <w:spacing w:line="560" w:lineRule="exact"/>
        <w:rPr>
          <w:b/>
          <w:color w:val="auto"/>
          <w:sz w:val="28"/>
          <w:szCs w:val="28"/>
          <w:highlight w:val="none"/>
        </w:rPr>
      </w:pPr>
    </w:p>
    <w:p>
      <w:pPr>
        <w:adjustRightInd w:val="0"/>
        <w:snapToGrid w:val="0"/>
        <w:spacing w:line="560" w:lineRule="exact"/>
        <w:rPr>
          <w:b/>
          <w:color w:val="auto"/>
          <w:sz w:val="28"/>
          <w:szCs w:val="28"/>
          <w:highlight w:val="none"/>
        </w:rPr>
      </w:pPr>
    </w:p>
    <w:p>
      <w:pPr>
        <w:pStyle w:val="14"/>
        <w:rPr>
          <w:b/>
          <w:color w:val="auto"/>
          <w:sz w:val="28"/>
          <w:szCs w:val="28"/>
          <w:highlight w:val="none"/>
        </w:rPr>
      </w:pPr>
    </w:p>
    <w:p>
      <w:pPr>
        <w:rPr>
          <w:b/>
          <w:color w:val="auto"/>
          <w:sz w:val="28"/>
          <w:szCs w:val="28"/>
          <w:highlight w:val="none"/>
        </w:rPr>
      </w:pPr>
    </w:p>
    <w:p>
      <w:pPr>
        <w:pStyle w:val="14"/>
        <w:rPr>
          <w:color w:val="auto"/>
          <w:highlight w:val="none"/>
        </w:rPr>
      </w:pPr>
    </w:p>
    <w:p>
      <w:pPr>
        <w:adjustRightInd w:val="0"/>
        <w:snapToGrid w:val="0"/>
        <w:spacing w:line="560" w:lineRule="exact"/>
        <w:rPr>
          <w:b/>
          <w:color w:val="auto"/>
          <w:sz w:val="28"/>
          <w:szCs w:val="28"/>
          <w:highlight w:val="none"/>
        </w:rPr>
      </w:pPr>
    </w:p>
    <w:p>
      <w:pPr>
        <w:adjustRightInd w:val="0"/>
        <w:snapToGrid w:val="0"/>
        <w:spacing w:line="560" w:lineRule="exact"/>
        <w:rPr>
          <w:b/>
          <w:color w:val="auto"/>
          <w:sz w:val="28"/>
          <w:szCs w:val="28"/>
          <w:highlight w:val="none"/>
        </w:rPr>
      </w:pPr>
    </w:p>
    <w:p>
      <w:pPr>
        <w:adjustRightInd w:val="0"/>
        <w:snapToGrid w:val="0"/>
        <w:spacing w:line="560" w:lineRule="exact"/>
        <w:jc w:val="center"/>
        <w:rPr>
          <w:b/>
          <w:color w:val="auto"/>
          <w:sz w:val="28"/>
          <w:szCs w:val="28"/>
          <w:highlight w:val="none"/>
        </w:rPr>
      </w:pPr>
    </w:p>
    <w:bookmarkEnd w:id="863"/>
    <w:p>
      <w:pPr>
        <w:adjustRightInd w:val="0"/>
        <w:snapToGrid w:val="0"/>
        <w:spacing w:line="560" w:lineRule="exact"/>
        <w:jc w:val="center"/>
        <w:rPr>
          <w:b/>
          <w:color w:val="auto"/>
          <w:sz w:val="32"/>
          <w:szCs w:val="28"/>
          <w:highlight w:val="none"/>
        </w:rPr>
      </w:pPr>
      <w:r>
        <w:rPr>
          <w:rFonts w:hint="eastAsia"/>
          <w:b/>
          <w:color w:val="auto"/>
          <w:sz w:val="32"/>
          <w:szCs w:val="28"/>
          <w:highlight w:val="none"/>
        </w:rPr>
        <w:t>住房和城乡建设部</w:t>
      </w:r>
    </w:p>
    <w:p>
      <w:pPr>
        <w:adjustRightInd w:val="0"/>
        <w:snapToGrid w:val="0"/>
        <w:spacing w:line="560" w:lineRule="exact"/>
        <w:jc w:val="center"/>
        <w:rPr>
          <w:b/>
          <w:color w:val="auto"/>
          <w:sz w:val="32"/>
          <w:szCs w:val="28"/>
          <w:highlight w:val="none"/>
        </w:rPr>
      </w:pPr>
      <w:r>
        <w:rPr>
          <w:rFonts w:hint="eastAsia"/>
          <w:b/>
          <w:color w:val="auto"/>
          <w:sz w:val="32"/>
          <w:szCs w:val="28"/>
          <w:highlight w:val="none"/>
        </w:rPr>
        <w:t>国家工商行政管理总局</w:t>
      </w:r>
    </w:p>
    <w:p>
      <w:pPr>
        <w:rPr>
          <w:rFonts w:hint="eastAsia"/>
          <w:color w:val="auto"/>
          <w:highlight w:val="none"/>
        </w:rPr>
      </w:pPr>
      <w:r>
        <w:rPr>
          <w:rFonts w:hint="eastAsia"/>
          <w:color w:val="auto"/>
          <w:highlight w:val="none"/>
        </w:rPr>
        <w:br w:type="page"/>
      </w:r>
    </w:p>
    <w:p>
      <w:pPr>
        <w:keepNext/>
        <w:keepLines/>
        <w:spacing w:line="360" w:lineRule="auto"/>
        <w:jc w:val="center"/>
        <w:outlineLvl w:val="1"/>
        <w:rPr>
          <w:rFonts w:hint="eastAsia" w:ascii="宋体" w:hAnsi="宋体" w:cs="宋体"/>
          <w:b/>
          <w:bCs/>
          <w:color w:val="auto"/>
          <w:sz w:val="32"/>
          <w:szCs w:val="32"/>
          <w:highlight w:val="none"/>
        </w:rPr>
      </w:pPr>
      <w:bookmarkStart w:id="864" w:name="_Toc95223459"/>
      <w:bookmarkStart w:id="865" w:name="_Toc28799376"/>
      <w:bookmarkStart w:id="866" w:name="_Toc3977"/>
      <w:bookmarkStart w:id="867" w:name="_Toc2308"/>
      <w:bookmarkStart w:id="868" w:name="_Toc29801"/>
      <w:r>
        <w:rPr>
          <w:rFonts w:hint="eastAsia" w:ascii="宋体" w:hAnsi="宋体" w:cs="宋体"/>
          <w:b/>
          <w:bCs/>
          <w:color w:val="auto"/>
          <w:sz w:val="32"/>
          <w:szCs w:val="32"/>
          <w:highlight w:val="none"/>
        </w:rPr>
        <w:t>第一节  合同协议书</w:t>
      </w:r>
      <w:bookmarkEnd w:id="864"/>
      <w:bookmarkEnd w:id="865"/>
      <w:bookmarkEnd w:id="866"/>
    </w:p>
    <w:p>
      <w:pPr>
        <w:spacing w:line="360" w:lineRule="auto"/>
        <w:rPr>
          <w:rFonts w:hint="eastAsia" w:ascii="宋体" w:hAnsi="宋体" w:cs="宋体"/>
          <w:b/>
          <w:color w:val="auto"/>
          <w:sz w:val="24"/>
          <w:highlight w:val="none"/>
          <w:u w:val="single"/>
        </w:rPr>
      </w:pPr>
      <w:r>
        <w:rPr>
          <w:rFonts w:hint="eastAsia" w:ascii="宋体" w:hAnsi="宋体" w:cs="宋体"/>
          <w:b/>
          <w:color w:val="auto"/>
          <w:sz w:val="24"/>
          <w:highlight w:val="none"/>
          <w:u w:val="single"/>
        </w:rPr>
        <w:t>发包人（全称）：                       </w:t>
      </w:r>
    </w:p>
    <w:p>
      <w:pPr>
        <w:spacing w:line="360" w:lineRule="auto"/>
        <w:rPr>
          <w:rFonts w:hint="eastAsia" w:ascii="宋体" w:hAnsi="宋体" w:cs="宋体"/>
          <w:b/>
          <w:color w:val="auto"/>
          <w:sz w:val="30"/>
          <w:szCs w:val="30"/>
          <w:highlight w:val="none"/>
          <w:u w:val="single"/>
        </w:rPr>
      </w:pPr>
      <w:r>
        <w:rPr>
          <w:rFonts w:hint="eastAsia" w:ascii="宋体" w:hAnsi="宋体" w:cs="宋体"/>
          <w:b/>
          <w:color w:val="auto"/>
          <w:sz w:val="24"/>
          <w:highlight w:val="none"/>
          <w:u w:val="single"/>
        </w:rPr>
        <w:t>承包人（全称）：                      </w:t>
      </w:r>
    </w:p>
    <w:p>
      <w:pPr>
        <w:spacing w:line="360" w:lineRule="auto"/>
        <w:ind w:firstLine="420" w:firstLineChars="200"/>
        <w:rPr>
          <w:rFonts w:hint="eastAsia" w:ascii="宋体" w:hAnsi="宋体" w:cs="宋体"/>
          <w:color w:val="auto"/>
          <w:szCs w:val="21"/>
          <w:highlight w:val="none"/>
          <w:u w:val="single"/>
        </w:rPr>
      </w:pP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根据《中华人民共和国民法典》《中华人民共和国建筑法》及有关法律规定，遵循平等、自愿、公平和诚实信用的原则，双方就                       工程施工及有关事项协商一致，共同达成如下协议：</w:t>
      </w:r>
      <w:bookmarkStart w:id="869" w:name="_Toc351203481"/>
    </w:p>
    <w:p>
      <w:pPr>
        <w:spacing w:line="360" w:lineRule="auto"/>
        <w:ind w:firstLine="422" w:firstLineChars="200"/>
        <w:rPr>
          <w:rFonts w:hint="eastAsia" w:ascii="宋体" w:hAnsi="宋体" w:cs="宋体"/>
          <w:color w:val="auto"/>
          <w:szCs w:val="21"/>
          <w:highlight w:val="none"/>
          <w:u w:val="single"/>
        </w:rPr>
      </w:pPr>
      <w:r>
        <w:rPr>
          <w:rFonts w:hint="eastAsia" w:ascii="宋体" w:hAnsi="宋体" w:cs="宋体"/>
          <w:b/>
          <w:color w:val="auto"/>
          <w:szCs w:val="21"/>
          <w:highlight w:val="none"/>
          <w:u w:val="single"/>
        </w:rPr>
        <w:t>一、工程概况</w:t>
      </w:r>
      <w:bookmarkEnd w:id="869"/>
    </w:p>
    <w:p>
      <w:pPr>
        <w:spacing w:line="360" w:lineRule="auto"/>
        <w:ind w:firstLine="411" w:firstLineChars="196"/>
        <w:rPr>
          <w:rFonts w:hint="eastAsia" w:ascii="宋体" w:hAnsi="宋体" w:cs="宋体"/>
          <w:color w:val="auto"/>
          <w:szCs w:val="21"/>
          <w:highlight w:val="none"/>
          <w:u w:val="single"/>
        </w:rPr>
      </w:pPr>
      <w:r>
        <w:rPr>
          <w:rFonts w:hint="eastAsia" w:ascii="宋体" w:hAnsi="宋体" w:cs="宋体"/>
          <w:bCs/>
          <w:color w:val="auto"/>
          <w:szCs w:val="21"/>
          <w:highlight w:val="none"/>
          <w:u w:val="single"/>
        </w:rPr>
        <w:t>1. 工程名称</w:t>
      </w:r>
      <w:r>
        <w:rPr>
          <w:rFonts w:hint="eastAsia" w:ascii="宋体" w:hAnsi="宋体" w:cs="宋体"/>
          <w:color w:val="auto"/>
          <w:szCs w:val="21"/>
          <w:highlight w:val="none"/>
          <w:u w:val="single"/>
        </w:rPr>
        <w:t>：                                     。</w:t>
      </w:r>
    </w:p>
    <w:p>
      <w:pPr>
        <w:spacing w:line="360" w:lineRule="auto"/>
        <w:ind w:firstLine="411" w:firstLineChars="196"/>
        <w:rPr>
          <w:rFonts w:hint="eastAsia" w:ascii="宋体" w:hAnsi="宋体" w:cs="宋体"/>
          <w:bCs/>
          <w:color w:val="auto"/>
          <w:szCs w:val="21"/>
          <w:highlight w:val="none"/>
          <w:u w:val="single"/>
        </w:rPr>
      </w:pPr>
      <w:r>
        <w:rPr>
          <w:rFonts w:hint="eastAsia" w:ascii="宋体" w:hAnsi="宋体" w:cs="宋体"/>
          <w:bCs/>
          <w:color w:val="auto"/>
          <w:szCs w:val="21"/>
          <w:highlight w:val="none"/>
          <w:u w:val="single"/>
        </w:rPr>
        <w:t xml:space="preserve">2. 工程地点：                                    </w:t>
      </w:r>
      <w:r>
        <w:rPr>
          <w:rFonts w:hint="eastAsia" w:ascii="宋体" w:hAnsi="宋体" w:cs="宋体"/>
          <w:color w:val="auto"/>
          <w:szCs w:val="21"/>
          <w:highlight w:val="none"/>
          <w:u w:val="single"/>
        </w:rPr>
        <w:t xml:space="preserve"> 。</w:t>
      </w:r>
    </w:p>
    <w:p>
      <w:pPr>
        <w:spacing w:line="360" w:lineRule="auto"/>
        <w:ind w:firstLine="411" w:firstLineChars="196"/>
        <w:rPr>
          <w:rFonts w:hint="eastAsia" w:ascii="宋体" w:hAnsi="宋体" w:cs="宋体"/>
          <w:bCs/>
          <w:color w:val="auto"/>
          <w:szCs w:val="21"/>
          <w:highlight w:val="none"/>
          <w:u w:val="single"/>
        </w:rPr>
      </w:pPr>
      <w:r>
        <w:rPr>
          <w:rFonts w:hint="eastAsia" w:ascii="宋体" w:hAnsi="宋体" w:cs="宋体"/>
          <w:bCs/>
          <w:color w:val="auto"/>
          <w:szCs w:val="21"/>
          <w:highlight w:val="none"/>
          <w:u w:val="single"/>
        </w:rPr>
        <w:t xml:space="preserve">3. 工程立项批准文号：                            </w:t>
      </w:r>
      <w:r>
        <w:rPr>
          <w:rFonts w:hint="eastAsia" w:ascii="宋体" w:hAnsi="宋体" w:cs="宋体"/>
          <w:color w:val="auto"/>
          <w:szCs w:val="21"/>
          <w:highlight w:val="none"/>
          <w:u w:val="single"/>
        </w:rPr>
        <w:t xml:space="preserve"> </w:t>
      </w:r>
      <w:r>
        <w:rPr>
          <w:rFonts w:hint="eastAsia" w:ascii="宋体" w:hAnsi="宋体" w:cs="宋体"/>
          <w:bCs/>
          <w:color w:val="auto"/>
          <w:szCs w:val="21"/>
          <w:highlight w:val="none"/>
          <w:u w:val="single"/>
        </w:rPr>
        <w:t>。</w:t>
      </w:r>
    </w:p>
    <w:p>
      <w:pPr>
        <w:spacing w:line="360" w:lineRule="auto"/>
        <w:ind w:firstLine="411" w:firstLineChars="196"/>
        <w:rPr>
          <w:rFonts w:hint="eastAsia" w:ascii="宋体" w:hAnsi="宋体" w:cs="宋体"/>
          <w:bCs/>
          <w:color w:val="auto"/>
          <w:szCs w:val="21"/>
          <w:highlight w:val="none"/>
          <w:u w:val="single"/>
        </w:rPr>
      </w:pPr>
      <w:r>
        <w:rPr>
          <w:rFonts w:hint="eastAsia" w:ascii="宋体" w:hAnsi="宋体" w:cs="宋体"/>
          <w:bCs/>
          <w:color w:val="auto"/>
          <w:szCs w:val="21"/>
          <w:highlight w:val="none"/>
          <w:u w:val="single"/>
        </w:rPr>
        <w:t xml:space="preserve">4. 资金来源：                                 </w:t>
      </w:r>
      <w:r>
        <w:rPr>
          <w:rFonts w:hint="eastAsia" w:ascii="宋体" w:hAnsi="宋体" w:cs="宋体"/>
          <w:color w:val="auto"/>
          <w:szCs w:val="21"/>
          <w:highlight w:val="none"/>
          <w:u w:val="single"/>
        </w:rPr>
        <w:t xml:space="preserve">  </w:t>
      </w:r>
      <w:r>
        <w:rPr>
          <w:rFonts w:hint="eastAsia" w:ascii="宋体" w:hAnsi="宋体" w:cs="宋体"/>
          <w:bCs/>
          <w:color w:val="auto"/>
          <w:szCs w:val="21"/>
          <w:highlight w:val="none"/>
          <w:u w:val="single"/>
        </w:rPr>
        <w:t>。</w:t>
      </w:r>
    </w:p>
    <w:p>
      <w:pPr>
        <w:spacing w:line="360" w:lineRule="auto"/>
        <w:ind w:firstLine="411" w:firstLineChars="196"/>
        <w:rPr>
          <w:rFonts w:hint="eastAsia" w:ascii="宋体" w:hAnsi="宋体" w:cs="宋体"/>
          <w:bCs/>
          <w:color w:val="auto"/>
          <w:szCs w:val="21"/>
          <w:highlight w:val="none"/>
          <w:u w:val="single"/>
        </w:rPr>
      </w:pPr>
      <w:r>
        <w:rPr>
          <w:rFonts w:hint="eastAsia" w:ascii="宋体" w:hAnsi="宋体" w:cs="宋体"/>
          <w:bCs/>
          <w:color w:val="auto"/>
          <w:szCs w:val="21"/>
          <w:highlight w:val="none"/>
          <w:u w:val="single"/>
        </w:rPr>
        <w:t xml:space="preserve">5. 工程内容：                               </w:t>
      </w:r>
      <w:r>
        <w:rPr>
          <w:rFonts w:hint="eastAsia" w:ascii="宋体" w:hAnsi="宋体" w:cs="宋体"/>
          <w:color w:val="auto"/>
          <w:szCs w:val="21"/>
          <w:highlight w:val="none"/>
          <w:u w:val="single"/>
        </w:rPr>
        <w:t xml:space="preserve">    </w:t>
      </w:r>
      <w:r>
        <w:rPr>
          <w:rFonts w:hint="eastAsia" w:ascii="宋体" w:hAnsi="宋体" w:cs="宋体"/>
          <w:bCs/>
          <w:color w:val="auto"/>
          <w:szCs w:val="21"/>
          <w:highlight w:val="none"/>
          <w:u w:val="single"/>
        </w:rPr>
        <w:t>。</w:t>
      </w:r>
    </w:p>
    <w:p>
      <w:pPr>
        <w:spacing w:line="360" w:lineRule="auto"/>
        <w:ind w:firstLine="411" w:firstLineChars="196"/>
        <w:rPr>
          <w:rFonts w:hint="eastAsia" w:ascii="宋体" w:hAnsi="宋体" w:cs="宋体"/>
          <w:color w:val="auto"/>
          <w:szCs w:val="21"/>
          <w:highlight w:val="none"/>
          <w:u w:val="single"/>
        </w:rPr>
      </w:pPr>
      <w:r>
        <w:rPr>
          <w:rFonts w:hint="eastAsia" w:ascii="宋体" w:hAnsi="宋体" w:cs="宋体"/>
          <w:bCs/>
          <w:color w:val="auto"/>
          <w:szCs w:val="21"/>
          <w:highlight w:val="none"/>
          <w:u w:val="single"/>
        </w:rPr>
        <w:t>6. 工程承包范围：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ind w:firstLine="422" w:firstLineChars="200"/>
        <w:rPr>
          <w:rFonts w:hint="eastAsia" w:ascii="宋体" w:hAnsi="宋体" w:cs="宋体"/>
          <w:b/>
          <w:color w:val="auto"/>
          <w:szCs w:val="21"/>
          <w:highlight w:val="none"/>
          <w:u w:val="single"/>
        </w:rPr>
      </w:pPr>
      <w:bookmarkStart w:id="870" w:name="_Toc351203482"/>
      <w:r>
        <w:rPr>
          <w:rFonts w:hint="eastAsia" w:ascii="宋体" w:hAnsi="宋体" w:cs="宋体"/>
          <w:b/>
          <w:color w:val="auto"/>
          <w:szCs w:val="21"/>
          <w:highlight w:val="none"/>
          <w:u w:val="single"/>
        </w:rPr>
        <w:t>二、合同工期</w:t>
      </w:r>
      <w:bookmarkEnd w:id="870"/>
    </w:p>
    <w:p>
      <w:pPr>
        <w:spacing w:line="360" w:lineRule="auto"/>
        <w:ind w:firstLine="459"/>
        <w:rPr>
          <w:rFonts w:hint="eastAsia" w:ascii="宋体" w:hAnsi="宋体" w:cs="宋体"/>
          <w:color w:val="auto"/>
          <w:szCs w:val="21"/>
          <w:highlight w:val="none"/>
          <w:u w:val="single"/>
        </w:rPr>
      </w:pPr>
      <w:r>
        <w:rPr>
          <w:rFonts w:hint="eastAsia" w:ascii="宋体" w:hAnsi="宋体" w:cs="宋体"/>
          <w:color w:val="auto"/>
          <w:szCs w:val="21"/>
          <w:highlight w:val="none"/>
          <w:u w:val="single"/>
        </w:rPr>
        <w:t>计划开工日期：          年      月      日。</w:t>
      </w:r>
    </w:p>
    <w:p>
      <w:pPr>
        <w:spacing w:line="360" w:lineRule="auto"/>
        <w:ind w:firstLine="459"/>
        <w:rPr>
          <w:rFonts w:hint="eastAsia" w:ascii="宋体" w:hAnsi="宋体" w:cs="宋体"/>
          <w:color w:val="auto"/>
          <w:szCs w:val="21"/>
          <w:highlight w:val="none"/>
          <w:u w:val="single"/>
        </w:rPr>
      </w:pPr>
      <w:r>
        <w:rPr>
          <w:rFonts w:hint="eastAsia" w:ascii="宋体" w:hAnsi="宋体" w:cs="宋体"/>
          <w:color w:val="auto"/>
          <w:szCs w:val="21"/>
          <w:highlight w:val="none"/>
          <w:u w:val="single"/>
        </w:rPr>
        <w:t>计划竣工日期：          年      月      日。</w:t>
      </w:r>
    </w:p>
    <w:p>
      <w:pPr>
        <w:spacing w:line="360" w:lineRule="auto"/>
        <w:ind w:firstLine="459"/>
        <w:rPr>
          <w:rFonts w:hint="eastAsia" w:ascii="宋体" w:hAnsi="宋体" w:cs="宋体"/>
          <w:color w:val="auto"/>
          <w:szCs w:val="21"/>
          <w:highlight w:val="none"/>
          <w:u w:val="single"/>
        </w:rPr>
      </w:pPr>
      <w:r>
        <w:rPr>
          <w:rFonts w:hint="eastAsia" w:ascii="宋体" w:hAnsi="宋体" w:cs="宋体"/>
          <w:color w:val="auto"/>
          <w:szCs w:val="21"/>
          <w:highlight w:val="none"/>
          <w:u w:val="single"/>
        </w:rPr>
        <w:t>工期总日历天数：       天。工期总日历天数与根据前述计划开竣工日期计算的工期天数不一致的，以工期总日历天数为准。</w:t>
      </w:r>
    </w:p>
    <w:p>
      <w:pPr>
        <w:spacing w:line="360" w:lineRule="auto"/>
        <w:ind w:firstLine="422" w:firstLineChars="200"/>
        <w:rPr>
          <w:rFonts w:hint="eastAsia" w:ascii="宋体" w:hAnsi="宋体" w:cs="宋体"/>
          <w:b/>
          <w:color w:val="auto"/>
          <w:szCs w:val="21"/>
          <w:highlight w:val="none"/>
          <w:u w:val="single"/>
        </w:rPr>
      </w:pPr>
      <w:bookmarkStart w:id="871" w:name="_Toc351203483"/>
      <w:r>
        <w:rPr>
          <w:rFonts w:hint="eastAsia" w:ascii="宋体" w:hAnsi="宋体" w:cs="宋体"/>
          <w:b/>
          <w:color w:val="auto"/>
          <w:szCs w:val="21"/>
          <w:highlight w:val="none"/>
          <w:u w:val="single"/>
        </w:rPr>
        <w:t>三、质量标准</w:t>
      </w:r>
      <w:bookmarkEnd w:id="871"/>
    </w:p>
    <w:p>
      <w:pPr>
        <w:spacing w:line="360" w:lineRule="auto"/>
        <w:ind w:firstLine="459"/>
        <w:rPr>
          <w:rFonts w:hint="eastAsia" w:ascii="宋体" w:hAnsi="宋体" w:cs="宋体"/>
          <w:color w:val="auto"/>
          <w:szCs w:val="21"/>
          <w:highlight w:val="none"/>
          <w:u w:val="single"/>
        </w:rPr>
      </w:pPr>
      <w:r>
        <w:rPr>
          <w:rFonts w:hint="eastAsia" w:ascii="宋体" w:hAnsi="宋体" w:cs="宋体"/>
          <w:color w:val="auto"/>
          <w:szCs w:val="21"/>
          <w:highlight w:val="none"/>
          <w:u w:val="single"/>
        </w:rPr>
        <w:t>工程质量符合                                 标准。</w:t>
      </w:r>
    </w:p>
    <w:p>
      <w:pPr>
        <w:spacing w:line="360" w:lineRule="auto"/>
        <w:ind w:firstLine="422" w:firstLineChars="200"/>
        <w:rPr>
          <w:rFonts w:hint="eastAsia" w:ascii="宋体" w:hAnsi="宋体" w:cs="宋体"/>
          <w:b/>
          <w:color w:val="auto"/>
          <w:szCs w:val="21"/>
          <w:highlight w:val="none"/>
          <w:u w:val="single"/>
        </w:rPr>
      </w:pPr>
      <w:bookmarkStart w:id="872" w:name="_Toc351203484"/>
      <w:r>
        <w:rPr>
          <w:rFonts w:hint="eastAsia" w:ascii="宋体" w:hAnsi="宋体" w:cs="宋体"/>
          <w:b/>
          <w:color w:val="auto"/>
          <w:szCs w:val="21"/>
          <w:highlight w:val="none"/>
          <w:u w:val="single"/>
        </w:rPr>
        <w:t>四、签约合同价与合同价格形式</w:t>
      </w:r>
      <w:bookmarkEnd w:id="872"/>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1. 签约合同价为：</w:t>
      </w:r>
    </w:p>
    <w:p>
      <w:pPr>
        <w:spacing w:line="360" w:lineRule="auto"/>
        <w:ind w:firstLine="525" w:firstLineChars="250"/>
        <w:rPr>
          <w:rFonts w:hint="eastAsia" w:ascii="宋体" w:hAnsi="宋体" w:cs="宋体"/>
          <w:color w:val="auto"/>
          <w:szCs w:val="21"/>
          <w:highlight w:val="none"/>
          <w:u w:val="single"/>
        </w:rPr>
      </w:pPr>
      <w:r>
        <w:rPr>
          <w:rFonts w:hint="eastAsia" w:ascii="宋体" w:hAnsi="宋体" w:cs="宋体"/>
          <w:color w:val="auto"/>
          <w:szCs w:val="21"/>
          <w:highlight w:val="none"/>
          <w:u w:val="single"/>
        </w:rPr>
        <w:t>人民币（大写）                 (¥            元)；</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其中：</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（1）安全文明施工费：</w:t>
      </w:r>
    </w:p>
    <w:p>
      <w:pPr>
        <w:spacing w:line="360" w:lineRule="auto"/>
        <w:ind w:firstLine="945" w:firstLineChars="450"/>
        <w:rPr>
          <w:rFonts w:hint="eastAsia" w:ascii="宋体" w:hAnsi="宋体" w:cs="宋体"/>
          <w:color w:val="auto"/>
          <w:szCs w:val="21"/>
          <w:highlight w:val="none"/>
          <w:u w:val="single"/>
        </w:rPr>
      </w:pPr>
      <w:r>
        <w:rPr>
          <w:rFonts w:hint="eastAsia" w:ascii="宋体" w:hAnsi="宋体" w:cs="宋体"/>
          <w:color w:val="auto"/>
          <w:szCs w:val="21"/>
          <w:highlight w:val="none"/>
          <w:u w:val="single"/>
        </w:rPr>
        <w:t>人民币（大写）               (¥          元)；</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（2）材料和工程设备暂估价金额：</w:t>
      </w:r>
    </w:p>
    <w:p>
      <w:pPr>
        <w:spacing w:line="360" w:lineRule="auto"/>
        <w:ind w:firstLine="945" w:firstLineChars="450"/>
        <w:rPr>
          <w:rFonts w:hint="eastAsia" w:ascii="宋体" w:hAnsi="宋体" w:cs="宋体"/>
          <w:color w:val="auto"/>
          <w:szCs w:val="21"/>
          <w:highlight w:val="none"/>
          <w:u w:val="single"/>
        </w:rPr>
      </w:pPr>
      <w:r>
        <w:rPr>
          <w:rFonts w:hint="eastAsia" w:ascii="宋体" w:hAnsi="宋体" w:cs="宋体"/>
          <w:color w:val="auto"/>
          <w:szCs w:val="21"/>
          <w:highlight w:val="none"/>
          <w:u w:val="single"/>
        </w:rPr>
        <w:t>人民币（大写）               (¥          元)；</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（3）专业工程暂估价金额：</w:t>
      </w:r>
    </w:p>
    <w:p>
      <w:pPr>
        <w:spacing w:line="360" w:lineRule="auto"/>
        <w:ind w:firstLine="945" w:firstLineChars="450"/>
        <w:rPr>
          <w:rFonts w:hint="eastAsia" w:ascii="宋体" w:hAnsi="宋体" w:cs="宋体"/>
          <w:color w:val="auto"/>
          <w:szCs w:val="21"/>
          <w:highlight w:val="none"/>
          <w:u w:val="single"/>
        </w:rPr>
      </w:pPr>
      <w:r>
        <w:rPr>
          <w:rFonts w:hint="eastAsia" w:ascii="宋体" w:hAnsi="宋体" w:cs="宋体"/>
          <w:color w:val="auto"/>
          <w:szCs w:val="21"/>
          <w:highlight w:val="none"/>
          <w:u w:val="single"/>
        </w:rPr>
        <w:t>人民币（大写）               (¥          元)；</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（4）暂列金额：</w:t>
      </w:r>
    </w:p>
    <w:p>
      <w:pPr>
        <w:spacing w:line="360" w:lineRule="auto"/>
        <w:ind w:firstLine="945" w:firstLineChars="45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合同价格形式：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2" w:firstLineChars="200"/>
        <w:rPr>
          <w:rFonts w:hint="eastAsia" w:ascii="宋体" w:hAnsi="宋体" w:cs="宋体"/>
          <w:b/>
          <w:color w:val="auto"/>
          <w:szCs w:val="21"/>
          <w:highlight w:val="none"/>
        </w:rPr>
      </w:pPr>
      <w:bookmarkStart w:id="873" w:name="_Toc351203485"/>
      <w:r>
        <w:rPr>
          <w:rFonts w:hint="eastAsia" w:ascii="宋体" w:hAnsi="宋体" w:cs="宋体"/>
          <w:b/>
          <w:color w:val="auto"/>
          <w:szCs w:val="21"/>
          <w:highlight w:val="none"/>
        </w:rPr>
        <w:t>五、</w:t>
      </w:r>
      <w:bookmarkEnd w:id="873"/>
      <w:r>
        <w:rPr>
          <w:rFonts w:hint="eastAsia" w:ascii="宋体" w:hAnsi="宋体" w:cs="宋体"/>
          <w:b/>
          <w:color w:val="auto"/>
          <w:szCs w:val="21"/>
          <w:highlight w:val="none"/>
        </w:rPr>
        <w:t>项目经理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承包人项目经理：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2" w:firstLineChars="200"/>
        <w:rPr>
          <w:rFonts w:hint="eastAsia" w:ascii="宋体" w:hAnsi="宋体" w:cs="宋体"/>
          <w:b/>
          <w:color w:val="auto"/>
          <w:szCs w:val="21"/>
          <w:highlight w:val="none"/>
        </w:rPr>
      </w:pPr>
      <w:bookmarkStart w:id="874" w:name="_Toc351203486"/>
      <w:r>
        <w:rPr>
          <w:rFonts w:hint="eastAsia" w:ascii="宋体" w:hAnsi="宋体" w:cs="宋体"/>
          <w:b/>
          <w:color w:val="auto"/>
          <w:szCs w:val="21"/>
          <w:highlight w:val="none"/>
        </w:rPr>
        <w:t>六、合同文件构成</w:t>
      </w:r>
      <w:bookmarkEnd w:id="874"/>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本协议书与下列文件一起构成合同文件：</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（1）中标通知书（如果有）；</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 xml:space="preserve">（2）投标函及其附录（如果有）； </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（3）专用合同条款及其附件；</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（4）通用合同条款；</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（5）技术标准和要求；</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（6）图纸；</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（7）已标价工程量清单或预算书；</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（8）其他合同文件。</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w:t>
      </w:r>
    </w:p>
    <w:p>
      <w:pPr>
        <w:autoSpaceDE w:val="0"/>
        <w:autoSpaceDN w:val="0"/>
        <w:adjustRightIn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spacing w:line="360" w:lineRule="auto"/>
        <w:ind w:firstLine="422" w:firstLineChars="200"/>
        <w:rPr>
          <w:rFonts w:hint="eastAsia" w:ascii="宋体" w:hAnsi="宋体" w:cs="宋体"/>
          <w:b/>
          <w:color w:val="auto"/>
          <w:szCs w:val="21"/>
          <w:highlight w:val="none"/>
        </w:rPr>
      </w:pPr>
      <w:bookmarkStart w:id="875" w:name="_Toc351203487"/>
      <w:r>
        <w:rPr>
          <w:rFonts w:hint="eastAsia" w:ascii="宋体" w:hAnsi="宋体" w:cs="宋体"/>
          <w:b/>
          <w:color w:val="auto"/>
          <w:szCs w:val="21"/>
          <w:highlight w:val="none"/>
        </w:rPr>
        <w:t>七、承诺</w:t>
      </w:r>
      <w:bookmarkEnd w:id="875"/>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1. 发包人承诺按照法律规定履行项目审批手续、筹集工程建设资金并按照合同约定的期限和方式支付合同价款。</w:t>
      </w:r>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2. 承包人承诺按照法律规定及合同约定组织完成工程施工，确保工程质量和安全，不进行转包及违法分包，并在缺陷责任期及保修期内承担相应的工程维修责任。</w:t>
      </w:r>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3. 发包人和承包人通过招投标形式签订合同的，双方理解并承诺不再就同一工程另行签订与合同实质性内容相背离的协议。</w:t>
      </w:r>
    </w:p>
    <w:p>
      <w:pPr>
        <w:spacing w:line="360" w:lineRule="auto"/>
        <w:ind w:firstLine="422" w:firstLineChars="200"/>
        <w:rPr>
          <w:rFonts w:hint="eastAsia" w:ascii="宋体" w:hAnsi="宋体" w:cs="宋体"/>
          <w:b/>
          <w:color w:val="auto"/>
          <w:szCs w:val="21"/>
          <w:highlight w:val="none"/>
        </w:rPr>
      </w:pPr>
      <w:bookmarkStart w:id="876" w:name="_Toc351203488"/>
      <w:r>
        <w:rPr>
          <w:rFonts w:hint="eastAsia" w:ascii="宋体" w:hAnsi="宋体" w:cs="宋体"/>
          <w:b/>
          <w:color w:val="auto"/>
          <w:szCs w:val="21"/>
          <w:highlight w:val="none"/>
        </w:rPr>
        <w:t>八、词语含义</w:t>
      </w:r>
      <w:bookmarkEnd w:id="876"/>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本协议书中词语含义与第二部分通用合同条款中赋予的含义相同。</w:t>
      </w:r>
    </w:p>
    <w:p>
      <w:pPr>
        <w:spacing w:line="360" w:lineRule="auto"/>
        <w:ind w:firstLine="422" w:firstLineChars="200"/>
        <w:rPr>
          <w:rFonts w:hint="eastAsia" w:ascii="宋体" w:hAnsi="宋体" w:cs="宋体"/>
          <w:b/>
          <w:color w:val="auto"/>
          <w:szCs w:val="21"/>
          <w:highlight w:val="none"/>
        </w:rPr>
      </w:pPr>
      <w:bookmarkStart w:id="877" w:name="_Toc351203489"/>
      <w:r>
        <w:rPr>
          <w:rFonts w:hint="eastAsia" w:ascii="宋体" w:hAnsi="宋体" w:cs="宋体"/>
          <w:b/>
          <w:color w:val="auto"/>
          <w:szCs w:val="21"/>
          <w:highlight w:val="none"/>
        </w:rPr>
        <w:t>九、签订时间</w:t>
      </w:r>
      <w:bookmarkEnd w:id="877"/>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本合同于</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日签订。</w:t>
      </w:r>
    </w:p>
    <w:p>
      <w:pPr>
        <w:spacing w:line="360" w:lineRule="auto"/>
        <w:ind w:firstLine="422" w:firstLineChars="200"/>
        <w:rPr>
          <w:rFonts w:hint="eastAsia" w:ascii="宋体" w:hAnsi="宋体" w:cs="宋体"/>
          <w:b/>
          <w:color w:val="auto"/>
          <w:szCs w:val="21"/>
          <w:highlight w:val="none"/>
        </w:rPr>
      </w:pPr>
      <w:bookmarkStart w:id="878" w:name="_Toc351203490"/>
      <w:r>
        <w:rPr>
          <w:rFonts w:hint="eastAsia" w:ascii="宋体" w:hAnsi="宋体" w:cs="宋体"/>
          <w:b/>
          <w:color w:val="auto"/>
          <w:szCs w:val="21"/>
          <w:highlight w:val="none"/>
        </w:rPr>
        <w:t>十、签订地点</w:t>
      </w:r>
      <w:bookmarkEnd w:id="878"/>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本合同在</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签订。</w:t>
      </w:r>
    </w:p>
    <w:p>
      <w:pPr>
        <w:spacing w:line="360" w:lineRule="auto"/>
        <w:ind w:firstLine="422" w:firstLineChars="200"/>
        <w:rPr>
          <w:rFonts w:hint="eastAsia" w:ascii="宋体" w:hAnsi="宋体" w:cs="宋体"/>
          <w:b/>
          <w:color w:val="auto"/>
          <w:szCs w:val="21"/>
          <w:highlight w:val="none"/>
        </w:rPr>
      </w:pPr>
      <w:bookmarkStart w:id="879" w:name="_Toc351203491"/>
      <w:r>
        <w:rPr>
          <w:rFonts w:hint="eastAsia" w:ascii="宋体" w:hAnsi="宋体" w:cs="宋体"/>
          <w:b/>
          <w:color w:val="auto"/>
          <w:szCs w:val="21"/>
          <w:highlight w:val="none"/>
        </w:rPr>
        <w:t>十一、补充协议</w:t>
      </w:r>
      <w:bookmarkEnd w:id="879"/>
    </w:p>
    <w:p>
      <w:pPr>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pPr>
        <w:spacing w:line="360" w:lineRule="auto"/>
        <w:ind w:firstLine="422" w:firstLineChars="200"/>
        <w:rPr>
          <w:rFonts w:hint="eastAsia" w:ascii="宋体" w:hAnsi="宋体" w:cs="宋体"/>
          <w:b/>
          <w:color w:val="auto"/>
          <w:szCs w:val="21"/>
          <w:highlight w:val="none"/>
        </w:rPr>
      </w:pPr>
      <w:bookmarkStart w:id="880" w:name="_Toc351203492"/>
      <w:r>
        <w:rPr>
          <w:rFonts w:hint="eastAsia" w:ascii="宋体" w:hAnsi="宋体" w:cs="宋体"/>
          <w:b/>
          <w:color w:val="auto"/>
          <w:szCs w:val="21"/>
          <w:highlight w:val="none"/>
        </w:rPr>
        <w:t>十二、合同生效</w:t>
      </w:r>
      <w:bookmarkEnd w:id="880"/>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本合同自</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生效。</w:t>
      </w:r>
    </w:p>
    <w:p>
      <w:pPr>
        <w:spacing w:line="360" w:lineRule="auto"/>
        <w:ind w:firstLine="422" w:firstLineChars="200"/>
        <w:rPr>
          <w:rFonts w:hint="eastAsia" w:ascii="宋体" w:hAnsi="宋体" w:cs="宋体"/>
          <w:b/>
          <w:color w:val="auto"/>
          <w:szCs w:val="21"/>
          <w:highlight w:val="none"/>
        </w:rPr>
      </w:pPr>
      <w:bookmarkStart w:id="881" w:name="_Toc351203493"/>
      <w:r>
        <w:rPr>
          <w:rFonts w:hint="eastAsia" w:ascii="宋体" w:hAnsi="宋体" w:cs="宋体"/>
          <w:b/>
          <w:color w:val="auto"/>
          <w:szCs w:val="21"/>
          <w:highlight w:val="none"/>
        </w:rPr>
        <w:t>十三、合同份数</w:t>
      </w:r>
      <w:bookmarkEnd w:id="881"/>
    </w:p>
    <w:p>
      <w:pPr>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本合同一式</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份，均具有同等法律效力，发包人执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份，承包人执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w:t>
      </w:r>
    </w:p>
    <w:p>
      <w:pPr>
        <w:spacing w:line="360" w:lineRule="auto"/>
        <w:rPr>
          <w:rFonts w:hint="eastAsia" w:ascii="宋体" w:hAnsi="宋体" w:cs="宋体"/>
          <w:bCs/>
          <w:color w:val="auto"/>
          <w:szCs w:val="21"/>
          <w:highlight w:val="none"/>
        </w:rPr>
      </w:pP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(公章)          承包人：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(公章)</w:t>
      </w:r>
    </w:p>
    <w:p>
      <w:pP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              法定代表人或其委托代理人：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（签字）</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u w:val="single"/>
        </w:rPr>
      </w:pPr>
    </w:p>
    <w:p>
      <w:pPr>
        <w:tabs>
          <w:tab w:val="left" w:pos="441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组织机构代码：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组织机构代码：</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电子信箱：</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keepNext/>
        <w:keepLines/>
        <w:spacing w:line="360" w:lineRule="auto"/>
        <w:jc w:val="center"/>
        <w:outlineLvl w:val="1"/>
        <w:rPr>
          <w:rFonts w:hint="eastAsia" w:ascii="宋体" w:hAnsi="宋体" w:cs="宋体"/>
          <w:snapToGrid w:val="0"/>
          <w:color w:val="auto"/>
          <w:kern w:val="0"/>
          <w:sz w:val="28"/>
          <w:highlight w:val="none"/>
        </w:rPr>
      </w:pPr>
      <w:r>
        <w:rPr>
          <w:rFonts w:hint="eastAsia" w:ascii="宋体" w:hAnsi="宋体" w:eastAsia="宋体" w:cs="宋体"/>
          <w:b/>
          <w:bCs/>
          <w:color w:val="auto"/>
          <w:sz w:val="32"/>
          <w:szCs w:val="32"/>
          <w:highlight w:val="none"/>
        </w:rPr>
        <w:br w:type="page"/>
      </w:r>
      <w:bookmarkEnd w:id="867"/>
      <w:bookmarkEnd w:id="868"/>
      <w:bookmarkStart w:id="882" w:name="_Toc95223460"/>
      <w:bookmarkStart w:id="883" w:name="_Toc15494"/>
      <w:bookmarkStart w:id="884" w:name="_Toc4139"/>
      <w:r>
        <w:rPr>
          <w:rFonts w:hint="eastAsia" w:ascii="黑体" w:hAnsi="Times New Roman" w:eastAsia="黑体" w:cs="黑体"/>
          <w:b/>
          <w:bCs/>
          <w:color w:val="auto"/>
          <w:kern w:val="0"/>
          <w:sz w:val="32"/>
          <w:szCs w:val="32"/>
          <w:highlight w:val="none"/>
          <w:lang w:val="en-US" w:eastAsia="zh-CN" w:bidi="ar-SA"/>
        </w:rPr>
        <w:t>第二节  通用合同条款</w:t>
      </w:r>
      <w:bookmarkEnd w:id="882"/>
      <w:bookmarkEnd w:id="883"/>
    </w:p>
    <w:p>
      <w:pPr>
        <w:spacing w:line="440" w:lineRule="exact"/>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采用《建设工程施工合同(示范文本)》（GF-2017-0201）中通用合同条款。上述资料由投标人自行准备。</w:t>
      </w:r>
    </w:p>
    <w:p>
      <w:pPr>
        <w:pStyle w:val="2"/>
        <w:jc w:val="center"/>
        <w:rPr>
          <w:rFonts w:hint="eastAsia" w:ascii="黑体" w:eastAsia="黑体" w:cs="黑体"/>
          <w:color w:val="auto"/>
          <w:highlight w:val="none"/>
        </w:rPr>
      </w:pPr>
      <w:bookmarkStart w:id="885" w:name="_Toc14492"/>
      <w:r>
        <w:rPr>
          <w:rFonts w:hint="eastAsia" w:ascii="黑体" w:eastAsia="黑体" w:cs="黑体"/>
          <w:color w:val="auto"/>
          <w:highlight w:val="none"/>
        </w:rPr>
        <w:t>第三节 专用合同条款</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 一般约定</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 xml:space="preserve">1.1 </w:t>
      </w:r>
      <w:r>
        <w:rPr>
          <w:rFonts w:hint="eastAsia" w:ascii="宋体" w:hAnsi="宋体" w:cs="宋体"/>
          <w:bCs/>
          <w:color w:val="auto"/>
          <w:szCs w:val="28"/>
          <w:highlight w:val="none"/>
        </w:rPr>
        <w:t>词语定义与解释</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1.1.1合同</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1.1.1.10其他合同文件包括：</w:t>
      </w:r>
      <w:r>
        <w:rPr>
          <w:rFonts w:hint="eastAsia" w:ascii="宋体" w:cs="宋体"/>
          <w:color w:val="auto"/>
          <w:szCs w:val="21"/>
          <w:highlight w:val="none"/>
          <w:u w:val="single"/>
        </w:rPr>
        <w:t>本项目招标文件、在合同订立及履行过程中形成的与合同有关的文件均构成合同文件组成部分。</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1.1.2 合同当事人及其他相关方</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1.1.2.4监理人：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名    称：</w:t>
      </w:r>
      <w:r>
        <w:rPr>
          <w:rFonts w:hint="eastAsia" w:ascii="宋体" w:cs="宋体"/>
          <w:color w:val="auto"/>
          <w:szCs w:val="21"/>
          <w:highlight w:val="none"/>
          <w:u w:val="single"/>
        </w:rPr>
        <w:t xml:space="preserve">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资质类别和等级：</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联系电话：</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电子信箱：</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通信地址：</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1.1.2.5 设计人：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名    称：</w:t>
      </w:r>
      <w:r>
        <w:rPr>
          <w:rFonts w:hint="eastAsia" w:ascii="宋体" w:cs="宋体"/>
          <w:color w:val="auto"/>
          <w:szCs w:val="21"/>
          <w:highlight w:val="none"/>
          <w:u w:val="single"/>
        </w:rPr>
        <w:t xml:space="preserve">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资质类别和等级：</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联系电话：</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电子信箱：</w:t>
      </w:r>
      <w:r>
        <w:rPr>
          <w:rFonts w:hint="eastAsia" w:ascii="宋体" w:cs="宋体"/>
          <w:color w:val="auto"/>
          <w:szCs w:val="21"/>
          <w:highlight w:val="none"/>
          <w:u w:val="single"/>
        </w:rPr>
        <w:t xml:space="preserve">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通信地址：</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1.1.3 工程和设备</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1.1.3.7 作为施工现场组成部分的其他场所包括：</w:t>
      </w:r>
      <w:r>
        <w:rPr>
          <w:rFonts w:hint="eastAsia" w:ascii="宋体" w:cs="宋体"/>
          <w:color w:val="auto"/>
          <w:szCs w:val="21"/>
          <w:highlight w:val="none"/>
          <w:u w:val="single"/>
        </w:rPr>
        <w:t xml:space="preserve"> 见施工图纸并现场确定</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1.1.3.9 永久占地包括：</w:t>
      </w:r>
      <w:r>
        <w:rPr>
          <w:rFonts w:hint="eastAsia" w:ascii="宋体" w:cs="宋体"/>
          <w:color w:val="auto"/>
          <w:szCs w:val="21"/>
          <w:highlight w:val="none"/>
          <w:u w:val="single"/>
        </w:rPr>
        <w:t xml:space="preserve">   见施工图纸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1.1.3.10 临时占地包括：</w:t>
      </w:r>
      <w:r>
        <w:rPr>
          <w:rFonts w:hint="eastAsia" w:ascii="宋体" w:cs="宋体"/>
          <w:color w:val="auto"/>
          <w:szCs w:val="21"/>
          <w:highlight w:val="none"/>
          <w:u w:val="single"/>
        </w:rPr>
        <w:t xml:space="preserve">   现场确定</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 xml:space="preserve">1.3法律 </w:t>
      </w:r>
    </w:p>
    <w:p>
      <w:pPr>
        <w:autoSpaceDE w:val="0"/>
        <w:autoSpaceDN w:val="0"/>
        <w:adjustRightInd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适用于合同的其他规范性文件：</w:t>
      </w:r>
      <w:r>
        <w:rPr>
          <w:rFonts w:hint="eastAsia" w:ascii="宋体" w:hAnsi="宋体" w:cs="宋体"/>
          <w:color w:val="auto"/>
          <w:szCs w:val="21"/>
          <w:highlight w:val="none"/>
          <w:u w:val="single"/>
        </w:rPr>
        <w:t>《中华人民共和国民法典》、《中华人民共和国建筑法》、《中华人民共和国招标投标法》、《建设工程质量管理条例》、《建设工程安全生产管理条例》等国家及工程所在地现行有效的法律法规和规章</w:t>
      </w:r>
      <w:r>
        <w:rPr>
          <w:rFonts w:hint="eastAsia" w:ascii="宋体" w:cs="宋体"/>
          <w:color w:val="auto"/>
          <w:szCs w:val="21"/>
          <w:highlight w:val="none"/>
          <w:u w:val="singl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1.4 标准和规范</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1.4.1适用于工程的标准规范包括：</w:t>
      </w:r>
      <w:r>
        <w:rPr>
          <w:rFonts w:hint="eastAsia" w:ascii="宋体" w:cs="宋体"/>
          <w:color w:val="auto"/>
          <w:szCs w:val="21"/>
          <w:highlight w:val="none"/>
          <w:u w:val="single"/>
        </w:rPr>
        <w:t>中华人民共和国住房和城乡建设部等部门及省、市发布的有关文件</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1.4.2 发包人提供国外标准、规范的名称：</w:t>
      </w:r>
      <w:r>
        <w:rPr>
          <w:rFonts w:hint="eastAsia" w:ascii="宋体" w:cs="宋体"/>
          <w:color w:val="auto"/>
          <w:kern w:val="0"/>
          <w:szCs w:val="21"/>
          <w:highlight w:val="none"/>
          <w:u w:val="single"/>
        </w:rPr>
        <w:t xml:space="preserve"> </w:t>
      </w:r>
      <w:r>
        <w:rPr>
          <w:rFonts w:hint="eastAsia" w:ascii="宋体" w:cs="宋体"/>
          <w:color w:val="auto"/>
          <w:szCs w:val="21"/>
          <w:highlight w:val="none"/>
          <w:u w:val="single"/>
        </w:rPr>
        <w:t>承包人自备国内现行适用的标准、规范</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发包人提供国外标准、规范的份数：</w:t>
      </w:r>
      <w:r>
        <w:rPr>
          <w:rFonts w:hint="eastAsia" w:ascii="宋体" w:cs="宋体"/>
          <w:color w:val="auto"/>
          <w:kern w:val="0"/>
          <w:szCs w:val="21"/>
          <w:highlight w:val="none"/>
          <w:u w:val="single"/>
        </w:rPr>
        <w:t xml:space="preserve">   无   </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kern w:val="0"/>
          <w:szCs w:val="21"/>
          <w:highlight w:val="none"/>
        </w:rPr>
        <w:t>发包人提供国外标准、规范的名称：</w:t>
      </w:r>
      <w:r>
        <w:rPr>
          <w:rFonts w:hint="eastAsia" w:ascii="宋体" w:cs="宋体"/>
          <w:color w:val="auto"/>
          <w:kern w:val="0"/>
          <w:szCs w:val="21"/>
          <w:highlight w:val="none"/>
          <w:u w:val="single"/>
        </w:rPr>
        <w:t xml:space="preserve">   无   </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1.4.3发包人对工程的技术标准和功能要求的特殊要求：</w:t>
      </w:r>
      <w:r>
        <w:rPr>
          <w:rFonts w:hint="eastAsia" w:ascii="宋体" w:cs="宋体"/>
          <w:color w:val="auto"/>
          <w:szCs w:val="21"/>
          <w:highlight w:val="none"/>
          <w:u w:val="single"/>
        </w:rPr>
        <w:t xml:space="preserve">按现行规范执行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1.5 合同文件的优先顺序</w:t>
      </w:r>
    </w:p>
    <w:p>
      <w:pPr>
        <w:snapToGrid w:val="0"/>
        <w:spacing w:line="440" w:lineRule="exact"/>
        <w:ind w:firstLine="420" w:firstLineChars="200"/>
        <w:rPr>
          <w:color w:val="auto"/>
          <w:highlight w:val="none"/>
        </w:rPr>
      </w:pPr>
      <w:r>
        <w:rPr>
          <w:rFonts w:hint="eastAsia" w:ascii="宋体" w:cs="宋体"/>
          <w:color w:val="auto"/>
          <w:szCs w:val="21"/>
          <w:highlight w:val="none"/>
        </w:rPr>
        <w:t>合同文件组成及优先顺序为：</w:t>
      </w:r>
      <w:r>
        <w:rPr>
          <w:rFonts w:hint="eastAsia" w:ascii="宋体" w:cs="宋体"/>
          <w:color w:val="auto"/>
          <w:szCs w:val="21"/>
          <w:highlight w:val="none"/>
          <w:u w:val="single"/>
        </w:rPr>
        <w:t>（1）合同协议书；（2）中</w:t>
      </w:r>
      <w:r>
        <w:rPr>
          <w:rFonts w:hint="eastAsia" w:ascii="宋体" w:cs="宋体"/>
          <w:color w:val="auto"/>
          <w:szCs w:val="21"/>
          <w:highlight w:val="none"/>
          <w:u w:val="single"/>
          <w:lang w:val="en-US" w:eastAsia="zh-CN"/>
        </w:rPr>
        <w:t>标</w:t>
      </w:r>
      <w:r>
        <w:rPr>
          <w:rFonts w:hint="eastAsia" w:ascii="宋体" w:cs="宋体"/>
          <w:color w:val="auto"/>
          <w:szCs w:val="21"/>
          <w:highlight w:val="none"/>
          <w:u w:val="single"/>
        </w:rPr>
        <w:t>通知书；（3）确认函及其附录；（4）招标文件；（5）专用合同条款及其附件；（6）通用合同条款；（7）技术标准和要求；（8）图纸；（9）已标价工程量清单或预算书；（10）其他合同文件。</w:t>
      </w:r>
    </w:p>
    <w:p>
      <w:pPr>
        <w:pStyle w:val="14"/>
        <w:spacing w:after="0" w:line="440" w:lineRule="exact"/>
        <w:ind w:left="0" w:leftChars="0"/>
        <w:rPr>
          <w:color w:val="auto"/>
          <w:highlight w:val="none"/>
        </w:rPr>
      </w:pPr>
      <w:r>
        <w:rPr>
          <w:color w:val="auto"/>
          <w:highlight w:val="none"/>
        </w:rPr>
        <w:t>上述各项合同文件包括合同当事人就该项合同文件所作出的补充和修改，属于同一类内容的文件，应以最新签署的为准。</w:t>
      </w:r>
    </w:p>
    <w:p>
      <w:pPr>
        <w:pStyle w:val="14"/>
        <w:spacing w:after="0" w:line="440" w:lineRule="exact"/>
        <w:ind w:left="0" w:leftChars="0"/>
        <w:rPr>
          <w:color w:val="auto"/>
          <w:highlight w:val="none"/>
        </w:rPr>
      </w:pPr>
      <w:r>
        <w:rPr>
          <w:color w:val="auto"/>
          <w:highlight w:val="none"/>
        </w:rPr>
        <w:t>在合同订立及履行过程中形成的与合同有关的文件均构成合同文件组成部分，并根据其性质确定优先解释顺序。</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1.6 图纸和承包人文件</w:t>
      </w:r>
      <w:r>
        <w:rPr>
          <w:rFonts w:hint="eastAsia" w:ascii="宋体" w:cs="宋体"/>
          <w:color w:val="auto"/>
          <w:szCs w:val="21"/>
          <w:highlight w:val="none"/>
        </w:rPr>
        <w:tab/>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 xml:space="preserve">1.6.1 </w:t>
      </w:r>
      <w:r>
        <w:rPr>
          <w:rFonts w:hint="eastAsia" w:ascii="宋体" w:hAnsi="宋体" w:cs="宋体"/>
          <w:color w:val="auto"/>
          <w:highlight w:val="none"/>
        </w:rPr>
        <w:t>图纸的提供和交底</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发包人向承包人提供图纸的期限：</w:t>
      </w:r>
      <w:r>
        <w:rPr>
          <w:rFonts w:hint="eastAsia" w:ascii="宋体" w:cs="宋体"/>
          <w:color w:val="auto"/>
          <w:szCs w:val="21"/>
          <w:highlight w:val="none"/>
          <w:u w:val="single"/>
        </w:rPr>
        <w:t xml:space="preserve"> 开工前14天</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发包人向承包人提供图纸的数量：</w:t>
      </w:r>
      <w:r>
        <w:rPr>
          <w:rFonts w:hint="eastAsia" w:ascii="宋体" w:cs="宋体"/>
          <w:color w:val="auto"/>
          <w:szCs w:val="21"/>
          <w:highlight w:val="none"/>
          <w:u w:val="single"/>
        </w:rPr>
        <w:t xml:space="preserve">3份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发包人向承包人提供图纸的内容：</w:t>
      </w:r>
      <w:r>
        <w:rPr>
          <w:rFonts w:hint="eastAsia" w:ascii="宋体" w:cs="宋体"/>
          <w:color w:val="auto"/>
          <w:szCs w:val="21"/>
          <w:highlight w:val="none"/>
          <w:u w:val="single"/>
        </w:rPr>
        <w:t>全套施工图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1.6.4 承包人文件</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需要由承包人提供的文件，包括：</w:t>
      </w:r>
      <w:r>
        <w:rPr>
          <w:rFonts w:hint="eastAsia" w:ascii="宋体" w:cs="宋体"/>
          <w:color w:val="auto"/>
          <w:szCs w:val="21"/>
          <w:highlight w:val="none"/>
          <w:u w:val="single"/>
        </w:rPr>
        <w:t>按监理要求执行，包括但不限于项目部人员证书（在领取中</w:t>
      </w:r>
      <w:r>
        <w:rPr>
          <w:rFonts w:hint="eastAsia" w:ascii="宋体" w:cs="宋体"/>
          <w:color w:val="auto"/>
          <w:szCs w:val="21"/>
          <w:highlight w:val="none"/>
          <w:u w:val="single"/>
          <w:lang w:val="en-US" w:eastAsia="zh-CN"/>
        </w:rPr>
        <w:t>标</w:t>
      </w:r>
      <w:r>
        <w:rPr>
          <w:rFonts w:hint="eastAsia" w:ascii="宋体" w:cs="宋体"/>
          <w:color w:val="auto"/>
          <w:szCs w:val="21"/>
          <w:highlight w:val="none"/>
          <w:u w:val="single"/>
        </w:rPr>
        <w:t xml:space="preserve">通知书前）、项目部任命文、实施性施工组织设计等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承包人提供的文件的期限为：</w:t>
      </w:r>
      <w:r>
        <w:rPr>
          <w:rFonts w:hint="eastAsia" w:ascii="宋体" w:cs="宋体"/>
          <w:color w:val="auto"/>
          <w:szCs w:val="21"/>
          <w:highlight w:val="none"/>
          <w:u w:val="single"/>
        </w:rPr>
        <w:t xml:space="preserve">按监理要求执行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承包人提供的文件的数量为：</w:t>
      </w:r>
      <w:r>
        <w:rPr>
          <w:rFonts w:hint="eastAsia" w:ascii="宋体" w:cs="宋体"/>
          <w:color w:val="auto"/>
          <w:szCs w:val="21"/>
          <w:highlight w:val="none"/>
          <w:u w:val="single"/>
        </w:rPr>
        <w:t xml:space="preserve">  按监理要求执行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承包人提供的文件的形式为：</w:t>
      </w:r>
      <w:r>
        <w:rPr>
          <w:rFonts w:hint="eastAsia" w:ascii="宋体" w:cs="宋体"/>
          <w:color w:val="auto"/>
          <w:szCs w:val="21"/>
          <w:highlight w:val="none"/>
          <w:u w:val="single"/>
        </w:rPr>
        <w:t>按监理要求执行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发包人审批承包人文件的期限：</w:t>
      </w:r>
      <w:r>
        <w:rPr>
          <w:rFonts w:hint="eastAsia" w:ascii="宋体" w:cs="宋体"/>
          <w:color w:val="auto"/>
          <w:szCs w:val="21"/>
          <w:highlight w:val="none"/>
          <w:u w:val="single"/>
        </w:rPr>
        <w:t>  7天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1.6.5 图纸和承包人文件的保管</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关于图纸和承包人文件的保管的约定：</w:t>
      </w:r>
      <w:r>
        <w:rPr>
          <w:rFonts w:hint="eastAsia" w:ascii="宋体" w:cs="宋体"/>
          <w:color w:val="auto"/>
          <w:szCs w:val="21"/>
          <w:highlight w:val="none"/>
          <w:u w:val="single"/>
        </w:rPr>
        <w:t>除专用合同条款另有约定外，承包人应在施工现场另外保存一套完整的图纸和承包人文件，供发包人、监理人及有关人员进行工程检查时使用</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1.7 联络</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1.7.1发包人和承包人应当在</w:t>
      </w:r>
      <w:r>
        <w:rPr>
          <w:rFonts w:hint="eastAsia" w:ascii="宋体" w:cs="宋体"/>
          <w:color w:val="auto"/>
          <w:szCs w:val="21"/>
          <w:highlight w:val="none"/>
          <w:u w:val="single"/>
        </w:rPr>
        <w:t xml:space="preserve">7天  </w:t>
      </w:r>
      <w:r>
        <w:rPr>
          <w:rFonts w:hint="eastAsia" w:ascii="宋体" w:cs="宋体"/>
          <w:color w:val="auto"/>
          <w:kern w:val="0"/>
          <w:szCs w:val="21"/>
          <w:highlight w:val="none"/>
        </w:rPr>
        <w:t>天内将与合同有关的通知、批准、证明、证书、指示、指令、要求、请求、同意、意见、确定和决定等书面函件送达对方当事人。</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1.7.2 发包人接收文件的地点：</w:t>
      </w:r>
      <w:r>
        <w:rPr>
          <w:rFonts w:hint="eastAsia" w:ascii="宋体" w:cs="宋体"/>
          <w:color w:val="auto"/>
          <w:szCs w:val="21"/>
          <w:highlight w:val="none"/>
          <w:u w:val="single"/>
        </w:rPr>
        <w:t></w:t>
      </w:r>
      <w:r>
        <w:rPr>
          <w:rFonts w:hint="eastAsia" w:ascii="宋体" w:cs="宋体"/>
          <w:color w:val="auto"/>
          <w:szCs w:val="21"/>
          <w:highlight w:val="none"/>
          <w:u w:val="single"/>
          <w:lang w:eastAsia="zh-CN"/>
        </w:rPr>
        <w:t>滁州市兴天矿业有限公司</w:t>
      </w:r>
      <w:r>
        <w:rPr>
          <w:rFonts w:hint="eastAsia" w:ascii="宋体" w:cs="宋体"/>
          <w:color w:val="auto"/>
          <w:szCs w:val="21"/>
          <w:highlight w:val="none"/>
          <w:u w:val="single"/>
        </w:rPr>
        <w:t>或项目部</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发包人指定的接收人为：</w:t>
      </w:r>
      <w:r>
        <w:rPr>
          <w:rFonts w:hint="eastAsia" w:ascii="宋体" w:cs="宋体"/>
          <w:color w:val="auto"/>
          <w:szCs w:val="21"/>
          <w:highlight w:val="none"/>
          <w:u w:val="single"/>
        </w:rPr>
        <w:t>发包人代表</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承包人接收文件的地点：</w:t>
      </w:r>
      <w:r>
        <w:rPr>
          <w:rFonts w:hint="eastAsia" w:ascii="宋体" w:cs="宋体"/>
          <w:color w:val="auto"/>
          <w:szCs w:val="21"/>
          <w:highlight w:val="none"/>
          <w:u w:val="single"/>
        </w:rPr>
        <w:t xml:space="preserve"> </w:t>
      </w:r>
      <w:r>
        <w:rPr>
          <w:rFonts w:hint="eastAsia" w:ascii="宋体" w:cs="宋体"/>
          <w:color w:val="auto"/>
          <w:szCs w:val="21"/>
          <w:highlight w:val="none"/>
          <w:u w:val="single"/>
          <w:lang w:eastAsia="zh-CN"/>
        </w:rPr>
        <w:t>滁州市兴天矿业有限公司</w:t>
      </w:r>
      <w:r>
        <w:rPr>
          <w:rFonts w:hint="eastAsia" w:ascii="宋体" w:cs="宋体"/>
          <w:color w:val="auto"/>
          <w:szCs w:val="21"/>
          <w:highlight w:val="none"/>
          <w:u w:val="single"/>
        </w:rPr>
        <w:t>或项目部</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承包人指定的接收人为：</w:t>
      </w:r>
      <w:r>
        <w:rPr>
          <w:rFonts w:hint="eastAsia" w:ascii="宋体" w:cs="宋体"/>
          <w:color w:val="auto"/>
          <w:szCs w:val="21"/>
          <w:highlight w:val="none"/>
          <w:u w:val="single"/>
        </w:rPr>
        <w:t>项目负责人</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监理人接收文件的地点：</w:t>
      </w:r>
      <w:r>
        <w:rPr>
          <w:rFonts w:hint="eastAsia" w:ascii="宋体" w:cs="宋体"/>
          <w:color w:val="auto"/>
          <w:szCs w:val="21"/>
          <w:highlight w:val="none"/>
          <w:u w:val="single"/>
        </w:rPr>
        <w:t xml:space="preserve"> </w:t>
      </w:r>
      <w:r>
        <w:rPr>
          <w:rFonts w:hint="eastAsia" w:ascii="宋体" w:cs="宋体"/>
          <w:color w:val="auto"/>
          <w:szCs w:val="21"/>
          <w:highlight w:val="none"/>
          <w:u w:val="single"/>
          <w:lang w:eastAsia="zh-CN"/>
        </w:rPr>
        <w:t>滁州市兴天矿业有限公司</w:t>
      </w:r>
      <w:r>
        <w:rPr>
          <w:rFonts w:hint="eastAsia" w:ascii="宋体" w:cs="宋体"/>
          <w:color w:val="auto"/>
          <w:szCs w:val="21"/>
          <w:highlight w:val="none"/>
          <w:u w:val="single"/>
        </w:rPr>
        <w:t>或监理部</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监理人指定的接收人为：</w:t>
      </w:r>
      <w:r>
        <w:rPr>
          <w:rFonts w:hint="eastAsia" w:ascii="宋体" w:cs="宋体"/>
          <w:color w:val="auto"/>
          <w:szCs w:val="21"/>
          <w:highlight w:val="none"/>
          <w:u w:val="single"/>
        </w:rPr>
        <w:t>总监理工程师或总监代表 </w:t>
      </w:r>
      <w:r>
        <w:rPr>
          <w:rFonts w:hint="eastAsia" w:ascii="宋体" w:cs="宋体"/>
          <w:color w:val="auto"/>
          <w:kern w:val="0"/>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1.10 交通运输</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1.10.1 出入现场的权利</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关于出入现场的权利的约定：</w:t>
      </w:r>
      <w:r>
        <w:rPr>
          <w:rFonts w:hint="eastAsia" w:ascii="宋体" w:cs="宋体"/>
          <w:color w:val="auto"/>
          <w:szCs w:val="21"/>
          <w:highlight w:val="none"/>
          <w:u w:val="single"/>
        </w:rPr>
        <w:t>发包人应根据施工需要，负责取得出入施工现场所需的批准手续和全部权利，以及取得因施工所需修建道路、桥梁以及其他基础设施的权利，并承担相关手续费用和建设费用，若该费用已包含在本项目发包范围，则由承包人自行解决并承担费用。承包人应协助发包人办理修建场内外道路、桥梁以及其他基础设施的手续。</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u w:val="single"/>
        </w:rPr>
        <w:t>承包人应在订立合同前查勘施工现场，并根据工程规模及技术参数合理预见工程施工所需的进出施工现场的方式、手段、路径等。因承包人未合理预见所增加的费用和（或）延误的工期由承包人承担。</w:t>
      </w:r>
    </w:p>
    <w:p>
      <w:pPr>
        <w:widowControl/>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1.10.3 场内交通</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关于场外交通和场内交通的边界的约定：</w:t>
      </w:r>
      <w:r>
        <w:rPr>
          <w:rFonts w:hint="eastAsia" w:ascii="宋体" w:cs="宋体"/>
          <w:color w:val="auto"/>
          <w:szCs w:val="21"/>
          <w:highlight w:val="none"/>
          <w:u w:val="single"/>
        </w:rPr>
        <w:t>场内交通设施和道路由承包人负责建设，发包人不另支付费用，场内交通边界现场确定</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关于发包人向承包人免费提供满足工程施工需要的场内道路和交通设施的约定：</w:t>
      </w:r>
      <w:r>
        <w:rPr>
          <w:rFonts w:hint="eastAsia" w:ascii="宋体" w:cs="宋体"/>
          <w:color w:val="auto"/>
          <w:szCs w:val="21"/>
          <w:highlight w:val="none"/>
          <w:u w:val="single"/>
        </w:rPr>
        <w:t xml:space="preserve">自行踏勘，自行解决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1.10.4超大件和超重件的运输</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运输超大件或超重件所需的道路和桥梁临时加固改造费用和其他有关费用由</w:t>
      </w:r>
      <w:r>
        <w:rPr>
          <w:rFonts w:hint="eastAsia" w:ascii="宋体" w:cs="宋体"/>
          <w:color w:val="auto"/>
          <w:szCs w:val="21"/>
          <w:highlight w:val="none"/>
          <w:u w:val="single"/>
        </w:rPr>
        <w:t xml:space="preserve">  承包方 </w:t>
      </w:r>
      <w:r>
        <w:rPr>
          <w:rFonts w:hint="eastAsia" w:ascii="宋体" w:cs="宋体"/>
          <w:color w:val="auto"/>
          <w:szCs w:val="21"/>
          <w:highlight w:val="none"/>
        </w:rPr>
        <w:t>承担。</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1.11 知识产权</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cs="宋体"/>
          <w:color w:val="auto"/>
          <w:szCs w:val="21"/>
          <w:highlight w:val="none"/>
          <w:u w:val="single"/>
        </w:rPr>
        <w:t xml:space="preserve">发包人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关于发包人提供的上述文件的使用限制的要求：</w:t>
      </w:r>
      <w:r>
        <w:rPr>
          <w:rFonts w:hint="eastAsia" w:ascii="宋体" w:cs="宋体"/>
          <w:color w:val="auto"/>
          <w:szCs w:val="21"/>
          <w:highlight w:val="none"/>
          <w:u w:val="single"/>
        </w:rPr>
        <w:t>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1.11.2 关于承包人为实施工程所编制文件的著作权的归属：</w:t>
      </w:r>
      <w:r>
        <w:rPr>
          <w:rFonts w:hint="eastAsia" w:ascii="宋体" w:cs="宋体"/>
          <w:color w:val="auto"/>
          <w:szCs w:val="21"/>
          <w:highlight w:val="none"/>
          <w:u w:val="single"/>
        </w:rPr>
        <w:t xml:space="preserve"> 发包人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关于承包人提供的上述文件的使用限制的要求：</w:t>
      </w:r>
      <w:r>
        <w:rPr>
          <w:rFonts w:hint="eastAsia" w:ascii="宋体" w:cs="宋体"/>
          <w:color w:val="auto"/>
          <w:szCs w:val="21"/>
          <w:highlight w:val="none"/>
          <w:u w:val="single"/>
        </w:rPr>
        <w:t xml:space="preserve">承包人可因实施工程的运行、调试、维修、改造等目的而复制、使用此类文件，但不能用于与合同无关的其他事项。未经发包人书面同意，承包人不得为了合同以外的目的而复制、使用上述文件或将之提供给任何第三方。 </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szCs w:val="21"/>
          <w:highlight w:val="none"/>
        </w:rPr>
        <w:t>1.11.4 承包人在施工过程中所采用的专利、专有技术、技术秘密的使用费的承担方式：</w:t>
      </w:r>
      <w:r>
        <w:rPr>
          <w:rFonts w:hint="eastAsia" w:ascii="宋体" w:cs="宋体"/>
          <w:color w:val="auto"/>
          <w:szCs w:val="21"/>
          <w:highlight w:val="none"/>
          <w:u w:val="single"/>
        </w:rPr>
        <w:t>该费用已包含在签约合同价中。</w:t>
      </w:r>
    </w:p>
    <w:p>
      <w:pPr>
        <w:snapToGrid w:val="0"/>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1.13工程量清单错误的修正</w:t>
      </w:r>
    </w:p>
    <w:p>
      <w:pPr>
        <w:snapToGrid w:val="0"/>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rFonts w:hint="eastAsia" w:ascii="宋体" w:hAnsi="宋体" w:cs="宋体"/>
          <w:color w:val="auto"/>
          <w:szCs w:val="21"/>
          <w:highlight w:val="none"/>
          <w:u w:val="single"/>
        </w:rPr>
        <w:t xml:space="preserve">  是，具体调整方式见下款  </w:t>
      </w:r>
      <w:r>
        <w:rPr>
          <w:rFonts w:hint="eastAsia" w:ascii="宋体" w:hAnsi="宋体" w:cs="宋体"/>
          <w:color w:val="auto"/>
          <w:szCs w:val="21"/>
          <w:highlight w:val="none"/>
        </w:rPr>
        <w:t>。</w:t>
      </w:r>
    </w:p>
    <w:p>
      <w:pPr>
        <w:snapToGrid w:val="0"/>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允许调整合同价格的工程量偏差范围：</w:t>
      </w:r>
    </w:p>
    <w:p>
      <w:pPr>
        <w:snapToGrid w:val="0"/>
        <w:spacing w:line="440" w:lineRule="exact"/>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承包人拒绝实施因</w:t>
      </w:r>
      <w:r>
        <w:rPr>
          <w:rFonts w:hint="eastAsia" w:ascii="宋体" w:hAnsi="宋体" w:cs="宋体"/>
          <w:b/>
          <w:bCs/>
          <w:color w:val="auto"/>
          <w:spacing w:val="-6"/>
          <w:kern w:val="0"/>
          <w:szCs w:val="21"/>
          <w:highlight w:val="none"/>
          <w:u w:val="single"/>
        </w:rPr>
        <w:t>此产生变化的施工内容或范围</w:t>
      </w:r>
      <w:r>
        <w:rPr>
          <w:rFonts w:hint="eastAsia" w:ascii="宋体" w:hAnsi="宋体" w:cs="宋体"/>
          <w:b/>
          <w:bCs/>
          <w:color w:val="auto"/>
          <w:szCs w:val="21"/>
          <w:highlight w:val="none"/>
          <w:u w:val="single"/>
        </w:rPr>
        <w:t>，将被视为违约，发包人视情节轻重给予违约处罚。结算时，工程量按实计算。结算工程量减少0-100%或增加15%以内部分，执行中</w:t>
      </w:r>
      <w:r>
        <w:rPr>
          <w:rFonts w:hint="eastAsia" w:ascii="宋体" w:hAnsi="宋体" w:cs="宋体"/>
          <w:b/>
          <w:bCs/>
          <w:color w:val="auto"/>
          <w:szCs w:val="21"/>
          <w:highlight w:val="none"/>
          <w:u w:val="single"/>
          <w:lang w:val="en-US" w:eastAsia="zh-CN"/>
        </w:rPr>
        <w:t>标</w:t>
      </w:r>
      <w:r>
        <w:rPr>
          <w:rFonts w:hint="eastAsia" w:ascii="宋体" w:hAnsi="宋体" w:cs="宋体"/>
          <w:b/>
          <w:bCs/>
          <w:color w:val="auto"/>
          <w:szCs w:val="21"/>
          <w:highlight w:val="none"/>
          <w:u w:val="single"/>
        </w:rPr>
        <w:t>单价；超出15%以外部分，结算单价按最高限价单价×</w:t>
      </w:r>
      <w:r>
        <w:rPr>
          <w:rFonts w:hint="eastAsia" w:ascii="宋体" w:hAnsi="宋体" w:cs="宋体"/>
          <w:b/>
          <w:bCs/>
          <w:color w:val="auto"/>
          <w:szCs w:val="21"/>
          <w:highlight w:val="none"/>
          <w:u w:val="single"/>
          <w:lang w:val="en-US" w:eastAsia="zh-CN"/>
        </w:rPr>
        <w:t>投标</w:t>
      </w:r>
      <w:r>
        <w:rPr>
          <w:rFonts w:hint="eastAsia" w:ascii="宋体" w:hAnsi="宋体" w:cs="宋体"/>
          <w:b/>
          <w:bCs/>
          <w:color w:val="auto"/>
          <w:szCs w:val="21"/>
          <w:highlight w:val="none"/>
          <w:u w:val="single"/>
        </w:rPr>
        <w:t>让利幅度计算，组价明显错误的予以纠正；新增项目单价按照最高投标限价的编制原则重新组价×投标让利幅度（上述投标让利幅度为中标价/最高投标限价，其中中标价和最高投标限价均扣除暂列金额、暂估价及相应税金），结算价格最终以相关部门审核价为准。</w:t>
      </w:r>
    </w:p>
    <w:p>
      <w:pPr>
        <w:snapToGrid w:val="0"/>
        <w:spacing w:line="440" w:lineRule="exact"/>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工程量清单的错误或漏项，按实调整，调整方式执行上述调整方式，但中标人（承包人）应在施工前提出，并履行变更程序，否则，不予认可。</w:t>
      </w:r>
    </w:p>
    <w:p>
      <w:pPr>
        <w:snapToGrid w:val="0"/>
        <w:spacing w:line="440" w:lineRule="exact"/>
        <w:ind w:firstLine="420" w:firstLineChars="200"/>
        <w:rPr>
          <w:rFonts w:hint="eastAsia" w:ascii="宋体" w:hAnsi="宋体" w:cs="宋体"/>
          <w:b/>
          <w:color w:val="auto"/>
          <w:szCs w:val="21"/>
          <w:highlight w:val="none"/>
          <w:u w:val="single"/>
        </w:rPr>
      </w:pPr>
      <w:r>
        <w:rPr>
          <w:rFonts w:hint="eastAsia" w:ascii="宋体" w:hAnsi="宋体" w:cs="宋体"/>
          <w:color w:val="auto"/>
          <w:szCs w:val="21"/>
          <w:highlight w:val="none"/>
        </w:rPr>
        <w:t>技术措施费调整：</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u w:val="single"/>
          <w:lang w:val="en-US" w:eastAsia="zh-CN"/>
        </w:rPr>
        <w:t>不调整</w:t>
      </w:r>
      <w:r>
        <w:rPr>
          <w:rFonts w:hint="eastAsia" w:ascii="宋体" w:hAnsi="宋体" w:cs="宋体"/>
          <w:b/>
          <w:color w:val="auto"/>
          <w:szCs w:val="21"/>
          <w:highlight w:val="none"/>
          <w:u w:val="single"/>
        </w:rPr>
        <w:t>。</w:t>
      </w:r>
    </w:p>
    <w:p>
      <w:pPr>
        <w:snapToGrid w:val="0"/>
        <w:spacing w:line="440" w:lineRule="exact"/>
        <w:ind w:firstLine="420" w:firstLineChars="200"/>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rPr>
        <w:t>组织措施费调整：</w:t>
      </w:r>
      <w:r>
        <w:rPr>
          <w:rFonts w:hint="eastAsia" w:ascii="宋体" w:hAnsi="宋体" w:cs="宋体"/>
          <w:b/>
          <w:color w:val="auto"/>
          <w:szCs w:val="21"/>
          <w:highlight w:val="none"/>
          <w:u w:val="single"/>
          <w:lang w:val="en-US" w:eastAsia="zh-CN"/>
        </w:rPr>
        <w:t>不调整。</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2. 发包人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2.2 发包人代表</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发包人代表：</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姓    名：</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身份证号：</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职    务：</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联系电话：</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电子信箱：</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通信地址：</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发包人对发包人代表的授权范围如下：</w:t>
      </w:r>
      <w:r>
        <w:rPr>
          <w:rFonts w:hint="eastAsia" w:ascii="宋体" w:cs="宋体"/>
          <w:color w:val="auto"/>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2.4 施工现场、施工条件和基础资料的提供</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2.4.1 提供施工现场</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关于发包人移交施工现场的期限要求：</w:t>
      </w:r>
      <w:r>
        <w:rPr>
          <w:rFonts w:hint="eastAsia" w:ascii="宋体" w:cs="宋体"/>
          <w:color w:val="auto"/>
          <w:szCs w:val="21"/>
          <w:highlight w:val="none"/>
          <w:u w:val="single"/>
        </w:rPr>
        <w:t>发包人应最迟于开工日期7天前向承包人移交施工现场。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2.4.2 提供施工条件</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关于发包人应负责提供施工所需要的条件，包括：</w:t>
      </w:r>
      <w:r>
        <w:rPr>
          <w:rFonts w:hint="eastAsia" w:ascii="宋体" w:cs="宋体"/>
          <w:color w:val="auto"/>
          <w:szCs w:val="21"/>
          <w:highlight w:val="none"/>
          <w:u w:val="single"/>
        </w:rPr>
        <w:t>（1）将施工用水、电力、通讯线路等施工所必需的条件接至施工现场内；（2）保证向承包人提供正常施工所需要的进入施工现场的交通条件；（3）协调处理施工现场周围地下管线和邻近建筑物、构筑物、古树名木的保护工作，并承担相关费用。若上述费用已包含在本项目发包范围，则由承包人自行解决并承担费用。</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2.5 资金来源证明及支付担保</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发包人提供资金来源证明的期限要求：</w:t>
      </w:r>
      <w:r>
        <w:rPr>
          <w:rFonts w:hint="eastAsia" w:ascii="宋体" w:cs="宋体"/>
          <w:color w:val="auto"/>
          <w:szCs w:val="21"/>
          <w:highlight w:val="none"/>
          <w:u w:val="single"/>
        </w:rPr>
        <w:t></w:t>
      </w:r>
      <w:r>
        <w:rPr>
          <w:rFonts w:hint="eastAsia" w:ascii="宋体" w:cs="宋体"/>
          <w:color w:val="auto"/>
          <w:szCs w:val="21"/>
          <w:highlight w:val="none"/>
          <w:u w:val="single"/>
          <w:lang w:val="en-US" w:eastAsia="zh-CN"/>
        </w:rPr>
        <w:t>自筹</w:t>
      </w:r>
      <w:r>
        <w:rPr>
          <w:rFonts w:hint="eastAsia" w:ascii="宋体" w:cs="宋体"/>
          <w:color w:val="auto"/>
          <w:szCs w:val="21"/>
          <w:highlight w:val="none"/>
          <w:u w:val="single"/>
        </w:rPr>
        <w:t xml:space="preserve">资金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发包人是否提供支付担保：</w:t>
      </w:r>
      <w:r>
        <w:rPr>
          <w:rFonts w:hint="eastAsia" w:ascii="宋体" w:cs="宋体"/>
          <w:color w:val="auto"/>
          <w:szCs w:val="21"/>
          <w:highlight w:val="none"/>
          <w:u w:val="single"/>
        </w:rPr>
        <w:t xml:space="preserve">不提供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发包人提供支付担保的形式：</w:t>
      </w:r>
      <w:r>
        <w:rPr>
          <w:rFonts w:hint="eastAsia" w:ascii="宋体" w:cs="宋体"/>
          <w:color w:val="auto"/>
          <w:szCs w:val="21"/>
          <w:highlight w:val="none"/>
          <w:u w:val="single"/>
        </w:rPr>
        <w:t>无  </w:t>
      </w:r>
      <w:r>
        <w:rPr>
          <w:rFonts w:hint="eastAsia" w:ascii="宋体" w:cs="宋体"/>
          <w:color w:val="auto"/>
          <w:szCs w:val="21"/>
          <w:highlight w:val="none"/>
        </w:rPr>
        <w:t>。</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3. 承包人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3.1 承包人的一般义务</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（9）</w:t>
      </w:r>
      <w:r>
        <w:rPr>
          <w:rFonts w:hint="eastAsia" w:ascii="宋体" w:cs="宋体"/>
          <w:color w:val="auto"/>
          <w:szCs w:val="21"/>
          <w:highlight w:val="none"/>
        </w:rPr>
        <w:t>承包人提交的竣工资料的内容：</w:t>
      </w:r>
      <w:r>
        <w:rPr>
          <w:rFonts w:hint="eastAsia" w:ascii="宋体" w:cs="宋体"/>
          <w:color w:val="auto"/>
          <w:szCs w:val="21"/>
          <w:highlight w:val="none"/>
          <w:u w:val="single"/>
        </w:rPr>
        <w:t xml:space="preserve">   按相关要求执行，包括但不限于竣工图、竣工报告、项目质检资料、结算资料等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承包人需要提交的竣工资料套数：</w:t>
      </w:r>
      <w:r>
        <w:rPr>
          <w:rFonts w:hint="eastAsia" w:ascii="宋体" w:cs="宋体"/>
          <w:color w:val="auto"/>
          <w:szCs w:val="21"/>
          <w:highlight w:val="none"/>
          <w:u w:val="single"/>
        </w:rPr>
        <w:t xml:space="preserve">      按相关要求执行，且不少于3套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承包人提交的竣工资料的费用承担：</w:t>
      </w:r>
      <w:r>
        <w:rPr>
          <w:rFonts w:hint="eastAsia" w:ascii="宋体" w:cs="宋体"/>
          <w:color w:val="auto"/>
          <w:szCs w:val="21"/>
          <w:highlight w:val="none"/>
          <w:u w:val="single"/>
        </w:rPr>
        <w:t xml:space="preserve">   承包人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承包人提交的竣工资料移交时间：</w:t>
      </w:r>
      <w:r>
        <w:rPr>
          <w:rFonts w:hint="eastAsia" w:ascii="宋体" w:cs="宋体"/>
          <w:color w:val="auto"/>
          <w:szCs w:val="21"/>
          <w:highlight w:val="none"/>
          <w:u w:val="single"/>
        </w:rPr>
        <w:t xml:space="preserve">     竣工验收合格后15日内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承包人提交的竣工资料形式要求：</w:t>
      </w:r>
      <w:r>
        <w:rPr>
          <w:rFonts w:hint="eastAsia" w:ascii="宋体" w:cs="宋体"/>
          <w:color w:val="auto"/>
          <w:szCs w:val="21"/>
          <w:highlight w:val="none"/>
          <w:u w:val="single"/>
        </w:rPr>
        <w:t xml:space="preserve">     纸质及电子形式   </w:t>
      </w:r>
      <w:r>
        <w:rPr>
          <w:rFonts w:hint="eastAsia" w:ascii="宋体" w:cs="宋体"/>
          <w:color w:val="auto"/>
          <w:szCs w:val="21"/>
          <w:highlight w:val="none"/>
        </w:rPr>
        <w:t>。</w:t>
      </w:r>
    </w:p>
    <w:p>
      <w:pPr>
        <w:numPr>
          <w:ilvl w:val="0"/>
          <w:numId w:val="4"/>
        </w:numPr>
        <w:spacing w:line="440" w:lineRule="exact"/>
        <w:rPr>
          <w:rFonts w:hint="eastAsia" w:ascii="宋体" w:cs="宋体"/>
          <w:color w:val="auto"/>
          <w:szCs w:val="21"/>
          <w:highlight w:val="none"/>
        </w:rPr>
      </w:pPr>
      <w:r>
        <w:rPr>
          <w:rFonts w:hint="eastAsia" w:ascii="宋体" w:cs="宋体"/>
          <w:color w:val="auto"/>
          <w:kern w:val="0"/>
          <w:szCs w:val="21"/>
          <w:highlight w:val="none"/>
        </w:rPr>
        <w:t>承包人应履行的其他义务：</w:t>
      </w:r>
      <w:r>
        <w:rPr>
          <w:rFonts w:hint="eastAsia" w:ascii="宋体" w:cs="宋体"/>
          <w:color w:val="auto"/>
          <w:szCs w:val="21"/>
          <w:highlight w:val="none"/>
          <w:u w:val="single"/>
        </w:rPr>
        <w:t>①工程竣工半年(含)内完成竣工结算的；②无合同纠纷等原因拖欠农民工工资、材料款，出现群访及时处理；③质量无缺陷，及时整改到位，处理及时；④施工现场服从调度或工程进度不超过合同工期或按合同期限按时移交的；⑤遵守滁重[2020]53号《关于限制不良建筑市场主体投标的规定》的；⑥月工程量进度及时完成；⑦按规定提供工程资料并及时归档的；</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3.2 项目经理</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kern w:val="0"/>
          <w:szCs w:val="21"/>
          <w:highlight w:val="none"/>
        </w:rPr>
        <w:t xml:space="preserve">3.2.1 </w:t>
      </w:r>
      <w:r>
        <w:rPr>
          <w:rFonts w:hint="eastAsia" w:ascii="宋体" w:cs="宋体"/>
          <w:color w:val="auto"/>
          <w:szCs w:val="21"/>
          <w:highlight w:val="none"/>
        </w:rPr>
        <w:t>项目经理：</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姓    名：</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身份证号：</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建造师执业资格等级：</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建造师注册证书号：</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建造师执业印章号：</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安全生产考核合格证书号：</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联系电话：</w:t>
      </w:r>
      <w:r>
        <w:rPr>
          <w:rFonts w:hint="eastAsia" w:ascii="宋体" w:cs="宋体"/>
          <w:color w:val="auto"/>
          <w:szCs w:val="21"/>
          <w:highlight w:val="none"/>
          <w:u w:val="single"/>
        </w:rPr>
        <w:t>  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电子信箱：</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通信地址：</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承包人对项目负责人的授权范围如下：</w:t>
      </w:r>
      <w:r>
        <w:rPr>
          <w:rFonts w:hint="eastAsia" w:ascii="宋体" w:cs="宋体"/>
          <w:color w:val="auto"/>
          <w:szCs w:val="21"/>
          <w:highlight w:val="none"/>
          <w:u w:val="single"/>
        </w:rPr>
        <w:t xml:space="preserve">由承包人明确授权范围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关于项目负责人每月在施工现场的时间要求：</w:t>
      </w:r>
      <w:r>
        <w:rPr>
          <w:rFonts w:hint="eastAsia" w:ascii="宋体" w:cs="宋体"/>
          <w:color w:val="auto"/>
          <w:szCs w:val="21"/>
          <w:highlight w:val="none"/>
          <w:u w:val="single"/>
        </w:rPr>
        <w:t>项目经理每月在岗时间不得少于20天，施工现场其他管理人员每月在岗时间不得少于22天。</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承包人未提交劳动合同，以及没有为建造师缴纳社会保险证明的违约责任：</w:t>
      </w:r>
      <w:r>
        <w:rPr>
          <w:rFonts w:hint="eastAsia" w:ascii="宋体" w:cs="宋体"/>
          <w:color w:val="auto"/>
          <w:kern w:val="0"/>
          <w:szCs w:val="21"/>
          <w:highlight w:val="none"/>
          <w:u w:val="single"/>
        </w:rPr>
        <w:t xml:space="preserve">  </w:t>
      </w:r>
      <w:r>
        <w:rPr>
          <w:rFonts w:hint="eastAsia" w:ascii="宋体" w:cs="宋体"/>
          <w:color w:val="auto"/>
          <w:szCs w:val="21"/>
          <w:highlight w:val="none"/>
          <w:u w:val="single"/>
        </w:rPr>
        <w:t>签订本合同前提供，资格审查时已提供的，不再重复提供</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kern w:val="0"/>
          <w:szCs w:val="21"/>
          <w:highlight w:val="none"/>
        </w:rPr>
        <w:t>项目负责人未经批准，擅自离开施工现场的违约责任：</w:t>
      </w:r>
      <w:r>
        <w:rPr>
          <w:rFonts w:hint="eastAsia" w:ascii="宋体" w:cs="宋体"/>
          <w:color w:val="auto"/>
          <w:szCs w:val="21"/>
          <w:highlight w:val="none"/>
          <w:u w:val="single"/>
        </w:rPr>
        <w:t>未按规定在岗履责的，对项目经理和技术负责人处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5000元/人·天的违约金，对施工现场其他管理人员处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1000元/人·天的违约金。项目部关键岗位人员离岗必须向发包人项目组长履行请假手续，若被我处和相关部门日常检查和随机抽查中发现不在岗的，又未履行请假手续的，处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5000元/人·次的违约金。</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3.2.3 承包人擅自更换项目负责人的违约责任：</w:t>
      </w:r>
      <w:r>
        <w:rPr>
          <w:rFonts w:hint="eastAsia" w:ascii="宋体" w:cs="宋体"/>
          <w:color w:val="auto"/>
          <w:szCs w:val="21"/>
          <w:highlight w:val="none"/>
          <w:u w:val="single"/>
        </w:rPr>
        <w:t>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招标文件和响应承诺配备的同等条件人员，并按照滁州市有关规定履行变更审批程序。</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3.2.4 承包人无正当理由拒绝更换项目经理的违约责任：</w:t>
      </w:r>
      <w:r>
        <w:rPr>
          <w:rFonts w:hint="eastAsia" w:ascii="宋体" w:cs="宋体"/>
          <w:color w:val="auto"/>
          <w:szCs w:val="21"/>
          <w:highlight w:val="none"/>
          <w:u w:val="single"/>
        </w:rPr>
        <w:t>发包人将组织对项目经理进行业务能力考核，对未按响应文件配备或经考核不合格要求更换人员的，承包人7日内必须整改调整到位。否则，对于项目经理和技术负责人，按照5000元/人•天处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违约金，对于施工现场其他管理人员按照1000元/人•天处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违约金。28日内未整改调整到位的，发包人有权终止合同，并提请相关行政主管部门对企业和人员进行“黑名单”处罚。</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3.3 承包人人员</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3.3.1 承包人提交项目管理机构及施工现场管理人员安排报告的期限：</w:t>
      </w:r>
      <w:r>
        <w:rPr>
          <w:rFonts w:hint="eastAsia" w:ascii="宋体" w:cs="宋体"/>
          <w:color w:val="auto"/>
          <w:szCs w:val="21"/>
          <w:highlight w:val="none"/>
          <w:u w:val="single"/>
        </w:rPr>
        <w:t>承包人应在</w:t>
      </w:r>
      <w:r>
        <w:rPr>
          <w:rFonts w:hint="eastAsia"/>
          <w:color w:val="auto"/>
          <w:highlight w:val="none"/>
          <w:u w:val="single"/>
        </w:rPr>
        <w:t>合同签订</w:t>
      </w:r>
      <w:r>
        <w:rPr>
          <w:rFonts w:hint="eastAsia" w:ascii="宋体" w:cs="宋体"/>
          <w:color w:val="auto"/>
          <w:szCs w:val="21"/>
          <w:highlight w:val="none"/>
          <w:u w:val="single"/>
        </w:rPr>
        <w:t>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3.3.3 承包人无正当理由拒绝撤换主要施工管理人员的违约责任：</w:t>
      </w:r>
      <w:r>
        <w:rPr>
          <w:rFonts w:hint="eastAsia" w:ascii="宋体" w:cs="宋体"/>
          <w:color w:val="auto"/>
          <w:szCs w:val="21"/>
          <w:highlight w:val="none"/>
          <w:u w:val="single"/>
        </w:rPr>
        <w:t xml:space="preserve"> 发包人将组织对人员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3.3.4 承包人主要施工管理人员离开施工现场的批准要求：</w:t>
      </w:r>
      <w:r>
        <w:rPr>
          <w:rFonts w:hint="eastAsia" w:ascii="宋体" w:cs="宋体"/>
          <w:color w:val="auto"/>
          <w:szCs w:val="21"/>
          <w:highlight w:val="none"/>
          <w:u w:val="single"/>
        </w:rPr>
        <w:t>未按规定在岗履责的，对项目经理和技术负责人处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5000元/人·天的违约金，对施工现场其他管理人员处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1000元/人·天的违约金。项目部关键岗位人员离岗必须向发包人项目组长履行请假手续，若被我处和相关部门日常检查和随机抽查中发现不在岗的，又未履行请假手续的，处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5000元/人·次的违约金。</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3.3.5承包人擅自更换主要施工管理人员的违约责任：按照</w:t>
      </w:r>
      <w:r>
        <w:rPr>
          <w:rFonts w:hint="eastAsia" w:ascii="宋体" w:cs="宋体"/>
          <w:color w:val="auto"/>
          <w:szCs w:val="21"/>
          <w:highlight w:val="none"/>
          <w:u w:val="single"/>
        </w:rPr>
        <w:t>未按规定在岗履责进行处罚。</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3.5 分包</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3.5.1 分包的一般约定</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禁止分包的工程包括：</w:t>
      </w:r>
      <w:r>
        <w:rPr>
          <w:rFonts w:hint="eastAsia" w:ascii="宋体" w:cs="宋体"/>
          <w:color w:val="auto"/>
          <w:szCs w:val="21"/>
          <w:highlight w:val="none"/>
          <w:u w:val="single"/>
        </w:rPr>
        <w:t>承包人不得将其承包的全部工程转包给第三人，或将其承包的全部工程肢解后以分包的名义转包给第三人。承包人不得将工程主体结构、关键性工作及合同条款中禁止分包的专业工程分包给第三人，主体结构、关键性工作的范围由合同当事人按照法律规定在专用合同条款中予以明确。</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主体结构、关键性工作的范围：</w:t>
      </w:r>
      <w:r>
        <w:rPr>
          <w:rFonts w:hint="eastAsia" w:ascii="宋体" w:cs="宋体"/>
          <w:color w:val="auto"/>
          <w:szCs w:val="21"/>
          <w:highlight w:val="none"/>
          <w:u w:val="single"/>
          <w:lang w:val="en-US" w:eastAsia="zh-CN"/>
        </w:rPr>
        <w:t>按照相关法律法规执行</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3.5.2分包的确定</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允许分包的专业工程包括：</w:t>
      </w:r>
      <w:r>
        <w:rPr>
          <w:rFonts w:hint="eastAsia" w:ascii="宋体" w:cs="宋体"/>
          <w:color w:val="auto"/>
          <w:szCs w:val="21"/>
          <w:highlight w:val="none"/>
          <w:u w:val="single"/>
        </w:rPr>
        <w:t>主体结构、关键性工作的范围以外的专业工程。 承包人应按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其他关于分包的约定：</w:t>
      </w:r>
      <w:r>
        <w:rPr>
          <w:rFonts w:hint="eastAsia" w:ascii="宋体" w:cs="宋体"/>
          <w:color w:val="auto"/>
          <w:szCs w:val="21"/>
          <w:highlight w:val="none"/>
          <w:u w:val="single"/>
        </w:rPr>
        <w:t>承包人不得以劳务分包的名义转包或违法分包工程。</w:t>
      </w:r>
      <w:r>
        <w:rPr>
          <w:rFonts w:hint="eastAsia" w:ascii="宋体" w:hAnsi="宋体" w:cs="宋体"/>
          <w:b/>
          <w:bCs/>
          <w:color w:val="auto"/>
          <w:szCs w:val="21"/>
          <w:highlight w:val="none"/>
          <w:u w:val="single"/>
        </w:rPr>
        <w:t>发包人在施工进场第一个月或施工过程中发现承包人转包、挂靠等行为的，发包人立即解除合同，清退出场，承包人已完合格工程量按合同价款60%进行结算。</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3.5.4 分包合同价款</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关于分包合同价款支付的约定：</w:t>
      </w:r>
      <w:r>
        <w:rPr>
          <w:rFonts w:hint="eastAsia" w:ascii="宋体" w:cs="宋体"/>
          <w:color w:val="auto"/>
          <w:szCs w:val="21"/>
          <w:highlight w:val="none"/>
          <w:u w:val="single"/>
        </w:rPr>
        <w:t>（1）除本项第（2）目约定的情况外，分包合同价款由承包人与分包人结算，未经承包人同意，发包人不得向分包人支付分包工程价款；（2）生效法律文书要求发包人向分包人支付分包合同价款的，发包人有权从应付承包人工程款中扣除该部分款项</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3.6 工程照管与成品、半成品保护</w:t>
      </w:r>
    </w:p>
    <w:p>
      <w:pPr>
        <w:snapToGrid w:val="0"/>
        <w:spacing w:line="440" w:lineRule="exact"/>
        <w:ind w:firstLine="420" w:firstLineChars="200"/>
        <w:rPr>
          <w:rFonts w:hint="eastAsia" w:ascii="宋体" w:cs="宋体"/>
          <w:color w:val="auto"/>
          <w:kern w:val="0"/>
          <w:szCs w:val="21"/>
          <w:highlight w:val="none"/>
          <w:u w:val="single"/>
        </w:rPr>
      </w:pPr>
      <w:r>
        <w:rPr>
          <w:rFonts w:hint="eastAsia" w:ascii="宋体" w:cs="宋体"/>
          <w:color w:val="auto"/>
          <w:kern w:val="0"/>
          <w:szCs w:val="21"/>
          <w:highlight w:val="none"/>
        </w:rPr>
        <w:t>承包人负责照管工程及工程相关的材料、工程设备的起始时间：</w:t>
      </w:r>
      <w:r>
        <w:rPr>
          <w:rFonts w:hint="eastAsia" w:ascii="宋体" w:cs="宋体"/>
          <w:color w:val="auto"/>
          <w:kern w:val="0"/>
          <w:szCs w:val="21"/>
          <w:highlight w:val="none"/>
          <w:u w:val="single"/>
        </w:rPr>
        <w:t>（1）自发包人向承包人移交施工现场之日起，承包人应负责照管工程及工程相关的材料、工程设备，直到办理移交手续之日止。（2）在承包人负责照管期间，因承包人原因造成工程、材料、工程设备损坏的，由承包人负责修复或更换，并承担由此增加的费用和（或）延误的工期。（3）对合同内分期完成的成品和半成品，在办理移交手续前，由承包人承担保护责任。因承包人原因造成成品或半成品损坏的，由承包人负责修复或更换，并承担由此增加的费用和（或）延误的工期。</w:t>
      </w:r>
    </w:p>
    <w:p>
      <w:pPr>
        <w:tabs>
          <w:tab w:val="left" w:pos="7740"/>
        </w:tabs>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3.7 履约担保</w:t>
      </w:r>
    </w:p>
    <w:p>
      <w:pPr>
        <w:tabs>
          <w:tab w:val="left" w:pos="7740"/>
        </w:tabs>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承包人是否提供履约担保：</w:t>
      </w:r>
      <w:r>
        <w:rPr>
          <w:rFonts w:hint="eastAsia" w:ascii="宋体" w:cs="宋体"/>
          <w:color w:val="auto"/>
          <w:szCs w:val="21"/>
          <w:highlight w:val="none"/>
          <w:u w:val="single"/>
        </w:rPr>
        <w:t xml:space="preserve">   是  </w:t>
      </w:r>
      <w:r>
        <w:rPr>
          <w:rFonts w:hint="eastAsia" w:ascii="宋体" w:cs="宋体"/>
          <w:color w:val="auto"/>
          <w:szCs w:val="21"/>
          <w:highlight w:val="none"/>
        </w:rPr>
        <w:t>。</w:t>
      </w:r>
    </w:p>
    <w:p>
      <w:pPr>
        <w:tabs>
          <w:tab w:val="left" w:pos="7740"/>
        </w:tabs>
        <w:snapToGrid w:val="0"/>
        <w:spacing w:line="440" w:lineRule="exact"/>
        <w:ind w:firstLine="420" w:firstLineChars="20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履约数额：</w:t>
      </w:r>
      <w:r>
        <w:rPr>
          <w:rFonts w:hint="eastAsia" w:ascii="宋体" w:hAnsi="Times New Roman" w:eastAsia="宋体" w:cs="宋体"/>
          <w:color w:val="auto"/>
          <w:szCs w:val="21"/>
          <w:highlight w:val="none"/>
          <w:lang w:val="en-US" w:eastAsia="zh-CN"/>
        </w:rPr>
        <w:t>合同价*2%</w:t>
      </w:r>
      <w:r>
        <w:rPr>
          <w:rFonts w:hint="eastAsia" w:ascii="宋体" w:hAnsi="Times New Roman" w:eastAsia="宋体" w:cs="宋体"/>
          <w:color w:val="auto"/>
          <w:szCs w:val="21"/>
          <w:highlight w:val="none"/>
        </w:rPr>
        <w:t>；</w:t>
      </w:r>
    </w:p>
    <w:p>
      <w:pPr>
        <w:tabs>
          <w:tab w:val="left" w:pos="7740"/>
        </w:tabs>
        <w:snapToGrid w:val="0"/>
        <w:spacing w:line="440" w:lineRule="exact"/>
        <w:ind w:firstLine="420" w:firstLineChars="20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 xml:space="preserve">形式：银行转帐或银行保函方式【须为见索即付保函（无条件保函）】 </w:t>
      </w:r>
    </w:p>
    <w:p>
      <w:pPr>
        <w:tabs>
          <w:tab w:val="left" w:pos="7740"/>
        </w:tabs>
        <w:snapToGrid w:val="0"/>
        <w:spacing w:line="440" w:lineRule="exact"/>
        <w:ind w:firstLine="420" w:firstLineChars="200"/>
        <w:rPr>
          <w:rFonts w:hint="default" w:ascii="宋体" w:eastAsia="宋体" w:cs="宋体"/>
          <w:color w:val="auto"/>
          <w:szCs w:val="21"/>
          <w:highlight w:val="none"/>
          <w:lang w:val="en-US" w:eastAsia="zh-CN"/>
        </w:rPr>
      </w:pPr>
      <w:r>
        <w:rPr>
          <w:rFonts w:hint="eastAsia" w:ascii="宋体" w:cs="宋体"/>
          <w:color w:val="auto"/>
          <w:szCs w:val="21"/>
          <w:highlight w:val="none"/>
          <w:lang w:val="en-US" w:eastAsia="zh-CN"/>
        </w:rPr>
        <w:t>具体要求详见投标人须知前附表</w:t>
      </w:r>
    </w:p>
    <w:p>
      <w:pPr>
        <w:tabs>
          <w:tab w:val="left" w:pos="7740"/>
        </w:tabs>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4. 监理人</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4.1监理人的一般规定</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关于监理人的监理内容：</w:t>
      </w:r>
      <w:r>
        <w:rPr>
          <w:rFonts w:hint="eastAsia" w:ascii="宋体" w:cs="宋体"/>
          <w:color w:val="auto"/>
          <w:szCs w:val="21"/>
          <w:highlight w:val="none"/>
          <w:u w:val="single"/>
        </w:rPr>
        <w:t xml:space="preserve">  详见监理合同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关于监理人的监理权限：</w:t>
      </w:r>
      <w:r>
        <w:rPr>
          <w:rFonts w:hint="eastAsia" w:ascii="宋体" w:cs="宋体"/>
          <w:color w:val="auto"/>
          <w:szCs w:val="21"/>
          <w:highlight w:val="none"/>
          <w:u w:val="single"/>
        </w:rPr>
        <w:t xml:space="preserve"> 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项目负责人及有关人员的建议权；分包单位资质及能力的审查权；等等  </w:t>
      </w:r>
      <w:r>
        <w:rPr>
          <w:rFonts w:hint="eastAsia" w:ascii="宋体" w:cs="宋体"/>
          <w:color w:val="auto"/>
          <w:szCs w:val="21"/>
          <w:highlight w:val="none"/>
        </w:rPr>
        <w:t xml:space="preserve">。 </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关于监理人在施工现场的办公场所、生活场所的提供和费用承担的约定：</w:t>
      </w:r>
      <w:r>
        <w:rPr>
          <w:rFonts w:hint="eastAsia" w:ascii="宋体" w:cs="宋体"/>
          <w:color w:val="auto"/>
          <w:szCs w:val="21"/>
          <w:highlight w:val="none"/>
          <w:u w:val="single"/>
        </w:rPr>
        <w:t>办公场所由承包人提供和承担，生活场所由监理人自行解决和承担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4.2 监理人员</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总监理工程师：</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姓    名：</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职    务：</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监理工程师执业资格证书号：</w:t>
      </w:r>
      <w:r>
        <w:rPr>
          <w:rFonts w:hint="eastAsia" w:ascii="宋体" w:cs="宋体"/>
          <w:color w:val="auto"/>
          <w:szCs w:val="21"/>
          <w:highlight w:val="none"/>
          <w:u w:val="single"/>
        </w:rPr>
        <w:t>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联系电话：</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电子信箱：</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通信地址：</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关于监理人的其他约定：</w:t>
      </w:r>
      <w:r>
        <w:rPr>
          <w:rFonts w:hint="eastAsia" w:ascii="宋体" w:cs="宋体"/>
          <w:color w:val="auto"/>
          <w:szCs w:val="21"/>
          <w:highlight w:val="none"/>
          <w:u w:val="single"/>
        </w:rPr>
        <w:t>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4.4 商定或确定</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在发包人和承包人不能通过协商达成一致意见时，发包人授权监理人对以下事项进行确定：</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w:t>
      </w:r>
      <w:r>
        <w:rPr>
          <w:rFonts w:hint="eastAsia" w:ascii="宋体" w:cs="宋体"/>
          <w:color w:val="auto"/>
          <w:szCs w:val="21"/>
          <w:highlight w:val="none"/>
          <w:u w:val="single"/>
        </w:rPr>
        <w:t xml:space="preserve">   施工方案    </w:t>
      </w:r>
      <w:r>
        <w:rPr>
          <w:rFonts w:hint="eastAsia" w:ascii="宋体" w:cs="宋体"/>
          <w:color w:val="auto"/>
          <w:szCs w:val="21"/>
          <w:highlight w:val="none"/>
        </w:rPr>
        <w:t>；</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w:t>
      </w:r>
      <w:r>
        <w:rPr>
          <w:rFonts w:hint="eastAsia" w:ascii="宋体" w:cs="宋体"/>
          <w:color w:val="auto"/>
          <w:szCs w:val="21"/>
          <w:highlight w:val="none"/>
          <w:u w:val="single"/>
        </w:rPr>
        <w:t xml:space="preserve">   索赔事项等    </w:t>
      </w:r>
      <w:r>
        <w:rPr>
          <w:rFonts w:hint="eastAsia" w:ascii="宋体" w:cs="宋体"/>
          <w:color w:val="auto"/>
          <w:szCs w:val="21"/>
          <w:highlight w:val="none"/>
        </w:rPr>
        <w:t>；</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5. 工程质量</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5.1 质量要求</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5.1.1 特殊质量标准和要求：</w:t>
      </w:r>
      <w:r>
        <w:rPr>
          <w:rFonts w:hint="eastAsia" w:ascii="宋体" w:cs="宋体"/>
          <w:color w:val="auto"/>
          <w:szCs w:val="21"/>
          <w:highlight w:val="none"/>
          <w:u w:val="single"/>
        </w:rPr>
        <w:t xml:space="preserve"> 工程质量必须达到国家工程施工质量验收 合格 标准。 </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关于工程奖项的约定：</w:t>
      </w:r>
      <w:r>
        <w:rPr>
          <w:rFonts w:hint="eastAsia" w:ascii="宋体" w:cs="宋体"/>
          <w:color w:val="auto"/>
          <w:szCs w:val="21"/>
          <w:highlight w:val="none"/>
          <w:u w:val="single"/>
        </w:rPr>
        <w:t xml:space="preserve"> /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5.3 隐蔽工程检查</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5.3.1隐蔽工程隐蔽前，承包人应当对工程隐蔽部位进行自检，并经自检确认是否具备覆盖条件。</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5.3.2承包人提前通知监理人隐蔽工程检查的期限的约定：工程隐蔽部位经承包人自检确认具备覆盖条件的，承包人应在共同检查前6小时书面通知监理人检查，通知中应载明隐蔽检查的内容、时间和地点，并应附有自检记录和必要的检查资料。</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监理人不能按时进行检查的，应在检查前3小时向承包人提交书面延期要求，但延期不能超过6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监理人不能按时进行检查时，应提前</w:t>
      </w:r>
      <w:r>
        <w:rPr>
          <w:rFonts w:hint="eastAsia" w:ascii="宋体" w:cs="宋体"/>
          <w:color w:val="auto"/>
          <w:szCs w:val="21"/>
          <w:highlight w:val="none"/>
          <w:u w:val="single"/>
        </w:rPr>
        <w:t xml:space="preserve">  3  </w:t>
      </w:r>
      <w:r>
        <w:rPr>
          <w:rFonts w:hint="eastAsia" w:ascii="宋体" w:cs="宋体"/>
          <w:color w:val="auto"/>
          <w:szCs w:val="21"/>
          <w:highlight w:val="none"/>
        </w:rPr>
        <w:t>小时提交书面延期要求。</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关于延期最长不得超过：</w:t>
      </w:r>
      <w:r>
        <w:rPr>
          <w:rFonts w:hint="eastAsia" w:ascii="宋体" w:cs="宋体"/>
          <w:color w:val="auto"/>
          <w:szCs w:val="21"/>
          <w:highlight w:val="none"/>
          <w:u w:val="single"/>
        </w:rPr>
        <w:t xml:space="preserve">  6  </w:t>
      </w:r>
      <w:r>
        <w:rPr>
          <w:rFonts w:hint="eastAsia" w:ascii="宋体" w:cs="宋体"/>
          <w:color w:val="auto"/>
          <w:szCs w:val="21"/>
          <w:highlight w:val="none"/>
        </w:rPr>
        <w:t>小时。</w:t>
      </w:r>
    </w:p>
    <w:p>
      <w:pPr>
        <w:pStyle w:val="5"/>
        <w:tabs>
          <w:tab w:val="left" w:pos="3315"/>
        </w:tabs>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6. 安全文明施工与环境保护</w:t>
      </w:r>
      <w:r>
        <w:rPr>
          <w:rFonts w:hint="eastAsia" w:ascii="宋体" w:eastAsia="宋体" w:cs="宋体"/>
          <w:b w:val="0"/>
          <w:color w:val="auto"/>
          <w:sz w:val="21"/>
          <w:szCs w:val="21"/>
          <w:highlight w:val="none"/>
        </w:rPr>
        <w:tab/>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6.1安全文明施工</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6.1.1 项目安全生产的达标目标及相应事项的约定</w:t>
      </w:r>
      <w:r>
        <w:rPr>
          <w:rFonts w:hint="eastAsia" w:ascii="宋体" w:cs="宋体"/>
          <w:color w:val="auto"/>
          <w:szCs w:val="21"/>
          <w:highlight w:val="none"/>
          <w:u w:val="single"/>
        </w:rPr>
        <w:t xml:space="preserve">  /    。</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6.1.4 关于治安保卫的特别约定：</w:t>
      </w:r>
      <w:r>
        <w:rPr>
          <w:rFonts w:hint="eastAsia" w:ascii="宋体" w:cs="宋体"/>
          <w:color w:val="auto"/>
          <w:szCs w:val="21"/>
          <w:highlight w:val="none"/>
          <w:u w:val="single"/>
        </w:rPr>
        <w:t xml:space="preserve"> 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关于编制施工场地治安管理计划的约定：</w:t>
      </w:r>
      <w:r>
        <w:rPr>
          <w:rFonts w:hint="eastAsia" w:ascii="宋体" w:cs="宋体"/>
          <w:color w:val="auto"/>
          <w:szCs w:val="21"/>
          <w:highlight w:val="none"/>
          <w:u w:val="single"/>
        </w:rPr>
        <w:t xml:space="preserve">   由承包人负责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6.1.5 文明施工</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合同当事人对文明施工的要求：</w:t>
      </w:r>
      <w:r>
        <w:rPr>
          <w:rFonts w:hint="eastAsia" w:ascii="宋体" w:cs="宋体"/>
          <w:color w:val="auto"/>
          <w:szCs w:val="21"/>
          <w:highlight w:val="none"/>
          <w:u w:val="single"/>
        </w:rPr>
        <w:t xml:space="preserve">   执行</w:t>
      </w:r>
      <w:r>
        <w:rPr>
          <w:rFonts w:hint="eastAsia" w:ascii="宋体" w:cs="宋体"/>
          <w:color w:val="auto"/>
          <w:szCs w:val="21"/>
          <w:highlight w:val="none"/>
          <w:u w:val="single"/>
          <w:lang w:val="en-US" w:eastAsia="zh-CN"/>
        </w:rPr>
        <w:t>招标</w:t>
      </w:r>
      <w:r>
        <w:rPr>
          <w:rFonts w:hint="eastAsia" w:ascii="宋体" w:cs="宋体"/>
          <w:color w:val="auto"/>
          <w:szCs w:val="21"/>
          <w:highlight w:val="none"/>
          <w:u w:val="single"/>
        </w:rPr>
        <w:t xml:space="preserve">文件   </w:t>
      </w:r>
      <w:r>
        <w:rPr>
          <w:rFonts w:hint="eastAsia" w:ascii="宋体" w:cs="宋体"/>
          <w:color w:val="auto"/>
          <w:szCs w:val="21"/>
          <w:highlight w:val="none"/>
        </w:rPr>
        <w:t>。</w:t>
      </w:r>
    </w:p>
    <w:p>
      <w:pPr>
        <w:snapToGrid w:val="0"/>
        <w:spacing w:line="440" w:lineRule="exact"/>
        <w:ind w:firstLine="420" w:firstLineChars="200"/>
        <w:jc w:val="left"/>
        <w:rPr>
          <w:rFonts w:hint="eastAsia" w:ascii="宋体" w:hAnsi="宋体" w:cs="宋体"/>
          <w:bCs/>
          <w:color w:val="auto"/>
          <w:szCs w:val="21"/>
          <w:highlight w:val="none"/>
          <w:u w:val="single"/>
        </w:rPr>
      </w:pPr>
      <w:r>
        <w:rPr>
          <w:rFonts w:hint="eastAsia" w:ascii="宋体" w:hAnsi="宋体" w:cs="宋体"/>
          <w:bCs/>
          <w:color w:val="auto"/>
          <w:szCs w:val="21"/>
          <w:highlight w:val="none"/>
        </w:rPr>
        <w:t>6.1.6 关于安全文明施工费支付比例和支付期限的约定：</w:t>
      </w:r>
      <w:r>
        <w:rPr>
          <w:rFonts w:hint="eastAsia" w:ascii="宋体" w:hAnsi="宋体" w:cs="宋体"/>
          <w:bCs/>
          <w:color w:val="auto"/>
          <w:szCs w:val="21"/>
          <w:highlight w:val="none"/>
          <w:u w:val="single"/>
        </w:rPr>
        <w:t>按照《关于落实&lt;市规建委关于规范建设工程安全防护和文明施工措施费使用管理的通知&gt;的意见》，支付方式为：房建工程基础验收合格后支付40%，主体结构施工封项支付40%，工程初验合格支付剩余20%；市政基础设施工程正常开工并达到第一期工程请款条件时支付50%，工程初验合格后支付剩余50%。该费用付至施工企业在银行开立的专户。施工企业应当确保安全防护、文明施工措施费专款专用，在财务管理中单独列出安全安全防护、文明施工措施项目费用清单备查。</w:t>
      </w:r>
    </w:p>
    <w:p>
      <w:pPr>
        <w:pStyle w:val="14"/>
        <w:spacing w:after="0" w:line="440" w:lineRule="exact"/>
        <w:ind w:left="0" w:leftChars="0" w:firstLine="422"/>
        <w:rPr>
          <w:rFonts w:hint="eastAsia" w:ascii="黑体" w:eastAsia="黑体" w:cs="宋体"/>
          <w:b/>
          <w:color w:val="auto"/>
          <w:szCs w:val="21"/>
          <w:highlight w:val="none"/>
          <w:u w:val="single"/>
        </w:rPr>
      </w:pPr>
      <w:r>
        <w:rPr>
          <w:rFonts w:hint="eastAsia" w:ascii="黑体" w:eastAsia="黑体" w:cs="宋体"/>
          <w:b/>
          <w:color w:val="auto"/>
          <w:szCs w:val="21"/>
          <w:highlight w:val="none"/>
        </w:rPr>
        <w:t>开户名称：</w:t>
      </w:r>
      <w:r>
        <w:rPr>
          <w:rFonts w:hint="eastAsia" w:ascii="黑体" w:eastAsia="黑体" w:cs="宋体"/>
          <w:b/>
          <w:color w:val="auto"/>
          <w:szCs w:val="21"/>
          <w:highlight w:val="none"/>
          <w:u w:val="single"/>
        </w:rPr>
        <w:t xml:space="preserve">                              ；</w:t>
      </w:r>
    </w:p>
    <w:p>
      <w:pPr>
        <w:pStyle w:val="14"/>
        <w:spacing w:after="0" w:line="440" w:lineRule="exact"/>
        <w:ind w:left="0" w:leftChars="0" w:firstLine="422"/>
        <w:rPr>
          <w:rFonts w:hint="eastAsia" w:ascii="黑体" w:eastAsia="黑体" w:cs="宋体"/>
          <w:b/>
          <w:color w:val="auto"/>
          <w:szCs w:val="21"/>
          <w:highlight w:val="none"/>
          <w:u w:val="single"/>
        </w:rPr>
      </w:pPr>
      <w:r>
        <w:rPr>
          <w:rFonts w:hint="eastAsia" w:ascii="黑体" w:eastAsia="黑体" w:cs="宋体"/>
          <w:b/>
          <w:color w:val="auto"/>
          <w:szCs w:val="21"/>
          <w:highlight w:val="none"/>
        </w:rPr>
        <w:t>开 户 行：</w:t>
      </w:r>
      <w:r>
        <w:rPr>
          <w:rFonts w:hint="eastAsia" w:ascii="黑体" w:eastAsia="黑体" w:cs="宋体"/>
          <w:b/>
          <w:color w:val="auto"/>
          <w:szCs w:val="21"/>
          <w:highlight w:val="none"/>
          <w:u w:val="single"/>
        </w:rPr>
        <w:t xml:space="preserve">                              ；</w:t>
      </w:r>
    </w:p>
    <w:p>
      <w:pPr>
        <w:pStyle w:val="14"/>
        <w:spacing w:after="0" w:line="440" w:lineRule="exact"/>
        <w:ind w:left="0" w:leftChars="0" w:firstLine="422"/>
        <w:rPr>
          <w:rFonts w:hint="eastAsia"/>
          <w:color w:val="auto"/>
          <w:highlight w:val="none"/>
        </w:rPr>
      </w:pPr>
      <w:r>
        <w:rPr>
          <w:rFonts w:hint="eastAsia" w:ascii="黑体" w:eastAsia="黑体" w:cs="宋体"/>
          <w:b/>
          <w:color w:val="auto"/>
          <w:szCs w:val="21"/>
          <w:highlight w:val="none"/>
        </w:rPr>
        <w:t>账    号：</w:t>
      </w:r>
      <w:r>
        <w:rPr>
          <w:rFonts w:hint="eastAsia" w:ascii="黑体" w:eastAsia="黑体" w:cs="宋体"/>
          <w:b/>
          <w:color w:val="auto"/>
          <w:szCs w:val="21"/>
          <w:highlight w:val="none"/>
          <w:u w:val="single"/>
        </w:rPr>
        <w:t xml:space="preserve">                               ；</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7. 工期和进度</w:t>
      </w:r>
    </w:p>
    <w:p>
      <w:pPr>
        <w:tabs>
          <w:tab w:val="left" w:pos="3240"/>
        </w:tabs>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7.1 施工组织设计</w:t>
      </w:r>
      <w:r>
        <w:rPr>
          <w:rFonts w:hint="eastAsia" w:ascii="宋体" w:cs="宋体"/>
          <w:color w:val="auto"/>
          <w:szCs w:val="21"/>
          <w:highlight w:val="none"/>
        </w:rPr>
        <w:tab/>
      </w:r>
    </w:p>
    <w:p>
      <w:pPr>
        <w:autoSpaceDE w:val="0"/>
        <w:autoSpaceDN w:val="0"/>
        <w:adjustRightInd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7.1.1 （9）合</w:t>
      </w:r>
      <w:r>
        <w:rPr>
          <w:rFonts w:hint="eastAsia" w:ascii="宋体" w:cs="宋体"/>
          <w:color w:val="auto"/>
          <w:kern w:val="0"/>
          <w:szCs w:val="21"/>
          <w:highlight w:val="none"/>
        </w:rPr>
        <w:t>同当事人约定的施工组织设计应包括的其他内容：</w:t>
      </w:r>
      <w:r>
        <w:rPr>
          <w:rFonts w:hint="eastAsia" w:ascii="宋体" w:cs="宋体"/>
          <w:color w:val="auto"/>
          <w:szCs w:val="21"/>
          <w:highlight w:val="none"/>
          <w:u w:val="single"/>
        </w:rPr>
        <w:t xml:space="preserve">  本工程需按照总进度计划编制每月施工进度计划，经监理、发包人审批后作为进度考核和进度款支付的依据  </w:t>
      </w:r>
      <w:r>
        <w:rPr>
          <w:rFonts w:hint="eastAsia" w:ascii="宋体" w:cs="宋体"/>
          <w:color w:val="auto"/>
          <w:szCs w:val="21"/>
          <w:highlight w:val="none"/>
        </w:rPr>
        <w:t>。</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szCs w:val="21"/>
          <w:highlight w:val="none"/>
        </w:rPr>
        <w:t xml:space="preserve">7.1.2 </w:t>
      </w:r>
      <w:r>
        <w:rPr>
          <w:rFonts w:hint="eastAsia" w:ascii="宋体" w:cs="宋体"/>
          <w:color w:val="auto"/>
          <w:kern w:val="0"/>
          <w:szCs w:val="21"/>
          <w:highlight w:val="none"/>
        </w:rPr>
        <w:t>施工组织设计的提交和修改</w:t>
      </w:r>
    </w:p>
    <w:p>
      <w:pPr>
        <w:autoSpaceDE w:val="0"/>
        <w:autoSpaceDN w:val="0"/>
        <w:adjustRightInd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承包人提交详细施工组织设计的期限的约定：</w:t>
      </w:r>
      <w:r>
        <w:rPr>
          <w:rFonts w:hint="eastAsia" w:ascii="宋体" w:cs="宋体"/>
          <w:color w:val="auto"/>
          <w:szCs w:val="21"/>
          <w:highlight w:val="none"/>
          <w:u w:val="single"/>
        </w:rPr>
        <w:t xml:space="preserve">图纸会审及设计交底后一周内提供标后实施性施工组织设计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发包人和监理人在收到详细的施工组织设计后确认或提出修改意见的期限：</w:t>
      </w:r>
      <w:r>
        <w:rPr>
          <w:rFonts w:hint="eastAsia" w:ascii="宋体" w:cs="宋体"/>
          <w:color w:val="auto"/>
          <w:szCs w:val="21"/>
          <w:highlight w:val="none"/>
          <w:u w:val="single"/>
        </w:rPr>
        <w:t>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7.2 施工进度计划</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7.2.2 施工进度计划的修订</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发包人和监理人在收到修订的施工进度计划后确认或提出修改意见的期限：</w:t>
      </w:r>
      <w:r>
        <w:rPr>
          <w:rFonts w:hint="eastAsia" w:ascii="宋体" w:cs="宋体"/>
          <w:color w:val="auto"/>
          <w:szCs w:val="21"/>
          <w:highlight w:val="none"/>
          <w:u w:val="single"/>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7.3 开工</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7.3.1 开工准备</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关于承包人提交</w:t>
      </w:r>
      <w:r>
        <w:rPr>
          <w:rFonts w:hint="eastAsia" w:ascii="宋体" w:cs="宋体"/>
          <w:color w:val="auto"/>
          <w:kern w:val="0"/>
          <w:szCs w:val="21"/>
          <w:highlight w:val="none"/>
        </w:rPr>
        <w:t>工程开工报审表的期限：</w:t>
      </w:r>
      <w:r>
        <w:rPr>
          <w:rFonts w:hint="eastAsia" w:ascii="宋体" w:cs="宋体"/>
          <w:color w:val="auto"/>
          <w:szCs w:val="21"/>
          <w:highlight w:val="none"/>
          <w:u w:val="single"/>
        </w:rPr>
        <w:t xml:space="preserve"> 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关于承包人应完成的其他开工准备工作及期限：</w:t>
      </w:r>
      <w:r>
        <w:rPr>
          <w:rFonts w:hint="eastAsia" w:ascii="宋体" w:cs="宋体"/>
          <w:color w:val="auto"/>
          <w:szCs w:val="21"/>
          <w:highlight w:val="none"/>
          <w:u w:val="single"/>
        </w:rPr>
        <w:t>合同当事人应按约定完成开工准备工作。</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7.3.2开工通知</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因发包人原因造成监理人未能在计划开工日期之日起</w:t>
      </w:r>
      <w:r>
        <w:rPr>
          <w:rFonts w:hint="eastAsia" w:ascii="宋体" w:cs="宋体"/>
          <w:color w:val="auto"/>
          <w:szCs w:val="21"/>
          <w:highlight w:val="none"/>
          <w:u w:val="single"/>
        </w:rPr>
        <w:t xml:space="preserve">  90  </w:t>
      </w:r>
      <w:r>
        <w:rPr>
          <w:rFonts w:hint="eastAsia" w:ascii="宋体" w:cs="宋体"/>
          <w:color w:val="auto"/>
          <w:szCs w:val="21"/>
          <w:highlight w:val="none"/>
        </w:rPr>
        <w:t>天内发出开工通知的，承包人有权提出价格调整要求，或者解除合同。</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7.4 测量放线</w:t>
      </w:r>
    </w:p>
    <w:p>
      <w:pPr>
        <w:snapToGrid w:val="0"/>
        <w:spacing w:line="440" w:lineRule="exact"/>
        <w:ind w:firstLine="420" w:firstLineChars="200"/>
        <w:jc w:val="left"/>
        <w:rPr>
          <w:rFonts w:hint="eastAsia" w:ascii="宋体" w:hAnsi="宋体" w:cs="宋体"/>
          <w:color w:val="auto"/>
          <w:highlight w:val="none"/>
        </w:rPr>
      </w:pPr>
      <w:r>
        <w:rPr>
          <w:rFonts w:hint="eastAsia" w:ascii="宋体" w:cs="宋体"/>
          <w:color w:val="auto"/>
          <w:szCs w:val="21"/>
          <w:highlight w:val="none"/>
        </w:rPr>
        <w:t>7.4.1发包人通过监理人向承包人提供测量基准点、基准线和水准点及其书面资料的期限：</w:t>
      </w:r>
      <w:r>
        <w:rPr>
          <w:rFonts w:hint="eastAsia" w:ascii="宋体" w:cs="宋体"/>
          <w:color w:val="auto"/>
          <w:szCs w:val="21"/>
          <w:highlight w:val="none"/>
          <w:u w:val="single"/>
        </w:rPr>
        <w:t xml:space="preserve"> </w:t>
      </w:r>
      <w:r>
        <w:rPr>
          <w:rFonts w:hint="eastAsia" w:ascii="宋体" w:hAnsi="宋体" w:cs="宋体"/>
          <w:color w:val="auto"/>
          <w:highlight w:val="none"/>
          <w:u w:val="single"/>
        </w:rPr>
        <w:t>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7.5 工期延误</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7.5.1 因发包人原因导致工期延误</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（7）因发包人原因导致工期延误的其他情形：</w:t>
      </w:r>
      <w:r>
        <w:rPr>
          <w:rFonts w:hint="eastAsia" w:ascii="宋体" w:cs="宋体"/>
          <w:color w:val="auto"/>
          <w:szCs w:val="21"/>
          <w:highlight w:val="none"/>
          <w:u w:val="single"/>
        </w:rPr>
        <w:t xml:space="preserve"> 无 。</w:t>
      </w:r>
      <w:r>
        <w:rPr>
          <w:rFonts w:hint="eastAsia" w:ascii="宋体" w:cs="宋体"/>
          <w:color w:val="auto"/>
          <w:szCs w:val="21"/>
          <w:highlight w:val="none"/>
        </w:rPr>
        <w:t xml:space="preserve">        </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7.5.2 因承包人原因导致工期延误</w:t>
      </w:r>
    </w:p>
    <w:p>
      <w:pPr>
        <w:pStyle w:val="14"/>
        <w:spacing w:after="0" w:line="440" w:lineRule="exact"/>
        <w:ind w:left="0" w:leftChars="0"/>
        <w:rPr>
          <w:rFonts w:hint="eastAsia"/>
          <w:color w:val="auto"/>
          <w:highlight w:val="none"/>
        </w:rPr>
      </w:pPr>
      <w:r>
        <w:rPr>
          <w:rFonts w:hint="eastAsia"/>
          <w:color w:val="auto"/>
          <w:highlight w:val="none"/>
        </w:rPr>
        <w:t>因承包人原因造成工期延误，逾期竣工违约金的计算方法为：</w:t>
      </w:r>
      <w:r>
        <w:rPr>
          <w:rFonts w:hint="eastAsia"/>
          <w:color w:val="auto"/>
          <w:highlight w:val="none"/>
          <w:u w:val="single"/>
        </w:rPr>
        <w:t xml:space="preserve">  因承包人原因造成合同工期延误，每延误一天，</w:t>
      </w:r>
      <w:r>
        <w:rPr>
          <w:rFonts w:hint="eastAsia"/>
          <w:color w:val="auto"/>
          <w:highlight w:val="none"/>
          <w:u w:val="single"/>
          <w:lang w:val="en-US" w:eastAsia="zh-CN"/>
        </w:rPr>
        <w:t>处以1000</w:t>
      </w:r>
      <w:r>
        <w:rPr>
          <w:rFonts w:hint="eastAsia"/>
          <w:color w:val="auto"/>
          <w:highlight w:val="none"/>
          <w:u w:val="single"/>
        </w:rPr>
        <w:t>元</w:t>
      </w:r>
      <w:r>
        <w:rPr>
          <w:rFonts w:hint="eastAsia"/>
          <w:color w:val="auto"/>
          <w:highlight w:val="none"/>
          <w:u w:val="single"/>
          <w:lang w:val="en-US" w:eastAsia="zh-CN"/>
        </w:rPr>
        <w:t>违约金</w:t>
      </w:r>
      <w:r>
        <w:rPr>
          <w:rFonts w:hint="eastAsia"/>
          <w:color w:val="auto"/>
          <w:highlight w:val="none"/>
          <w:u w:val="single"/>
        </w:rPr>
        <w:t>；月工程量未完成的当期不得请款，当月未完成的工程量纳入下月一并完成，完不成的仍不予请款，依此类推。连续两个月工程量未完成的立即限制承包人一年内不得参与发包人项目投标。</w:t>
      </w:r>
    </w:p>
    <w:p>
      <w:pPr>
        <w:pStyle w:val="14"/>
        <w:spacing w:after="0" w:line="440" w:lineRule="exact"/>
        <w:ind w:left="0" w:leftChars="0"/>
        <w:rPr>
          <w:rFonts w:hint="eastAsia"/>
          <w:color w:val="auto"/>
          <w:highlight w:val="none"/>
        </w:rPr>
      </w:pPr>
      <w:r>
        <w:rPr>
          <w:rFonts w:hint="eastAsia"/>
          <w:color w:val="auto"/>
          <w:highlight w:val="none"/>
        </w:rPr>
        <w:t>因承包人原因造成工期延误，逾期竣工违约金的上限：</w:t>
      </w:r>
      <w:r>
        <w:rPr>
          <w:rFonts w:hint="eastAsia"/>
          <w:color w:val="auto"/>
          <w:highlight w:val="none"/>
          <w:u w:val="single"/>
        </w:rPr>
        <w:t xml:space="preserve"> 全额履约保证金 </w:t>
      </w:r>
      <w:r>
        <w:rPr>
          <w:rFonts w:hint="eastAsia"/>
          <w:color w:val="auto"/>
          <w:highlight w:val="none"/>
        </w:rPr>
        <w:t>。</w:t>
      </w:r>
    </w:p>
    <w:p>
      <w:pPr>
        <w:pStyle w:val="14"/>
        <w:spacing w:after="0" w:line="440" w:lineRule="exact"/>
        <w:ind w:left="0" w:leftChars="0"/>
        <w:rPr>
          <w:rFonts w:hint="eastAsia" w:cs="宋体"/>
          <w:color w:val="auto"/>
          <w:szCs w:val="21"/>
          <w:highlight w:val="none"/>
        </w:rPr>
      </w:pPr>
      <w:r>
        <w:rPr>
          <w:rFonts w:hint="eastAsia" w:cs="宋体"/>
          <w:bCs/>
          <w:color w:val="auto"/>
          <w:szCs w:val="21"/>
          <w:highlight w:val="none"/>
        </w:rPr>
        <w:t>业主单位根据拖延工期的严重程度采用以下方法处理:</w:t>
      </w:r>
    </w:p>
    <w:p>
      <w:pPr>
        <w:widowControl/>
        <w:snapToGrid w:val="0"/>
        <w:spacing w:line="440" w:lineRule="exact"/>
        <w:ind w:firstLine="420" w:firstLineChars="200"/>
        <w:rPr>
          <w:rFonts w:hint="eastAsia" w:ascii="宋体" w:cs="宋体"/>
          <w:bCs/>
          <w:color w:val="auto"/>
          <w:szCs w:val="21"/>
          <w:highlight w:val="none"/>
          <w:u w:val="single"/>
        </w:rPr>
      </w:pPr>
      <w:r>
        <w:rPr>
          <w:rFonts w:hint="eastAsia" w:ascii="宋体" w:cs="宋体"/>
          <w:color w:val="auto"/>
          <w:szCs w:val="21"/>
          <w:highlight w:val="none"/>
          <w:u w:val="single"/>
        </w:rPr>
        <w:t>（1）</w:t>
      </w:r>
      <w:r>
        <w:rPr>
          <w:rFonts w:hint="eastAsia" w:ascii="宋体" w:cs="宋体"/>
          <w:bCs/>
          <w:color w:val="auto"/>
          <w:szCs w:val="21"/>
          <w:highlight w:val="none"/>
          <w:u w:val="single"/>
        </w:rPr>
        <w:t>督促承包人采取有效的赶工措施（费用自理）；</w:t>
      </w:r>
    </w:p>
    <w:p>
      <w:pPr>
        <w:widowControl/>
        <w:snapToGrid w:val="0"/>
        <w:spacing w:line="440" w:lineRule="exact"/>
        <w:ind w:firstLine="420" w:firstLineChars="200"/>
        <w:rPr>
          <w:rFonts w:hint="eastAsia" w:ascii="宋体" w:hAnsi="Times New Roman" w:eastAsia="宋体" w:cs="宋体"/>
          <w:bCs/>
          <w:color w:val="auto"/>
          <w:szCs w:val="21"/>
          <w:highlight w:val="none"/>
          <w:u w:val="single"/>
        </w:rPr>
      </w:pPr>
      <w:r>
        <w:rPr>
          <w:rFonts w:hint="eastAsia" w:ascii="宋体" w:hAnsi="Times New Roman" w:eastAsia="宋体" w:cs="宋体"/>
          <w:bCs/>
          <w:color w:val="auto"/>
          <w:szCs w:val="21"/>
          <w:highlight w:val="none"/>
          <w:u w:val="single"/>
        </w:rPr>
        <w:t>（2）发包人根据本项目总体施工计划对工程各分部分项工程的进度目标确定之后，承包人应采取各种措施确保本合同内各分部分项工程进度目标的实现，如果在工程实施某个分部分项工程，承包人的实际进度滞后该分部分项工程进度目标7天以上，并无法确保该分部分项工程进度目标的完成或承包人虽采取了一些措施，但仍无法按交工期交工时，监理工程师应立即通知发包人，并抄送承包人。发包人向承包人发出书面警告通知3天后，发包人有权终止合同，也可将本合同工程中的一部分或剩余工作交由其他承包人或指定分包人完成，因此所增加的一切费用由原承包人承担。</w:t>
      </w:r>
    </w:p>
    <w:p>
      <w:pPr>
        <w:widowControl/>
        <w:snapToGrid w:val="0"/>
        <w:spacing w:line="440" w:lineRule="exact"/>
        <w:ind w:firstLine="420" w:firstLineChars="200"/>
        <w:rPr>
          <w:rFonts w:hint="eastAsia" w:ascii="宋体" w:hAnsi="Times New Roman" w:eastAsia="宋体" w:cs="宋体"/>
          <w:bCs/>
          <w:color w:val="auto"/>
          <w:szCs w:val="21"/>
          <w:highlight w:val="none"/>
          <w:u w:val="single"/>
        </w:rPr>
      </w:pPr>
      <w:r>
        <w:rPr>
          <w:rFonts w:hint="eastAsia" w:ascii="宋体" w:hAnsi="Times New Roman" w:eastAsia="宋体" w:cs="宋体"/>
          <w:bCs/>
          <w:color w:val="auto"/>
          <w:szCs w:val="21"/>
          <w:highlight w:val="none"/>
          <w:u w:val="single"/>
        </w:rPr>
        <w:t>（3）对严重拖延工期，经发包人多次督促，承包人拒不执行的，发包人可中止施工合同，并和承包人进行清算。同时按原中</w:t>
      </w:r>
      <w:r>
        <w:rPr>
          <w:rFonts w:hint="eastAsia" w:ascii="宋体" w:hAnsi="Times New Roman" w:eastAsia="宋体" w:cs="宋体"/>
          <w:bCs/>
          <w:color w:val="auto"/>
          <w:szCs w:val="21"/>
          <w:highlight w:val="none"/>
          <w:u w:val="single"/>
          <w:lang w:val="en-US" w:eastAsia="zh-CN"/>
        </w:rPr>
        <w:t>标</w:t>
      </w:r>
      <w:r>
        <w:rPr>
          <w:rFonts w:hint="eastAsia" w:ascii="宋体" w:hAnsi="Times New Roman" w:eastAsia="宋体" w:cs="宋体"/>
          <w:bCs/>
          <w:color w:val="auto"/>
          <w:szCs w:val="21"/>
          <w:highlight w:val="none"/>
          <w:u w:val="single"/>
        </w:rPr>
        <w:t xml:space="preserve">价格另选同样资质的施工队伍进场施工，原承包人须无条件配合，不得以任何借口阻挠另选的施工队伍施工，不得向发包人提出任何索赔要求，详见补充条款。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7.6 不利物质条件</w:t>
      </w:r>
    </w:p>
    <w:p>
      <w:pPr>
        <w:snapToGrid w:val="0"/>
        <w:spacing w:line="440" w:lineRule="exact"/>
        <w:ind w:firstLine="420" w:firstLineChars="200"/>
        <w:jc w:val="left"/>
        <w:rPr>
          <w:rFonts w:ascii="宋体" w:cs="宋体"/>
          <w:color w:val="auto"/>
          <w:szCs w:val="21"/>
          <w:highlight w:val="none"/>
          <w:u w:val="single"/>
        </w:rPr>
      </w:pPr>
      <w:r>
        <w:rPr>
          <w:rFonts w:hint="eastAsia" w:ascii="宋体" w:cs="宋体"/>
          <w:color w:val="auto"/>
          <w:szCs w:val="21"/>
          <w:highlight w:val="none"/>
        </w:rPr>
        <w:t>不利物质条件的其他情形和有关约定：</w:t>
      </w:r>
      <w:r>
        <w:rPr>
          <w:rFonts w:hint="eastAsia" w:ascii="宋体" w:cs="宋体"/>
          <w:color w:val="auto"/>
          <w:szCs w:val="21"/>
          <w:highlight w:val="none"/>
          <w:u w:val="single"/>
        </w:rPr>
        <w:t xml:space="preserve"> 无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7.7异常恶劣的气候条件</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发包人和承包人同意以下情形视为异常恶劣的气候条件：</w:t>
      </w:r>
    </w:p>
    <w:p>
      <w:pPr>
        <w:numPr>
          <w:ilvl w:val="0"/>
          <w:numId w:val="5"/>
        </w:numPr>
        <w:snapToGrid w:val="0"/>
        <w:spacing w:line="440" w:lineRule="exact"/>
        <w:ind w:firstLine="420" w:firstLineChars="200"/>
        <w:jc w:val="left"/>
        <w:rPr>
          <w:rFonts w:hint="eastAsia"/>
          <w:color w:val="auto"/>
          <w:highlight w:val="none"/>
        </w:rPr>
      </w:pP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numPr>
          <w:ilvl w:val="0"/>
          <w:numId w:val="5"/>
        </w:numPr>
        <w:snapToGrid w:val="0"/>
        <w:spacing w:line="440" w:lineRule="exact"/>
        <w:ind w:firstLine="420" w:firstLineChars="200"/>
        <w:jc w:val="left"/>
        <w:rPr>
          <w:rFonts w:hint="eastAsia"/>
          <w:color w:val="auto"/>
          <w:highlight w:val="none"/>
        </w:rPr>
      </w:pP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numPr>
          <w:ilvl w:val="0"/>
          <w:numId w:val="5"/>
        </w:numPr>
        <w:snapToGrid w:val="0"/>
        <w:spacing w:line="440" w:lineRule="exact"/>
        <w:ind w:firstLine="420" w:firstLineChars="200"/>
        <w:jc w:val="left"/>
        <w:rPr>
          <w:rFonts w:hint="eastAsia"/>
          <w:color w:val="auto"/>
          <w:highlight w:val="none"/>
        </w:rPr>
      </w:pP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4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rPr>
        <w:t>7.9 提前竣工的奖励</w:t>
      </w:r>
    </w:p>
    <w:p>
      <w:pPr>
        <w:pStyle w:val="14"/>
        <w:spacing w:after="0" w:line="440" w:lineRule="exact"/>
        <w:ind w:left="0" w:leftChars="0"/>
        <w:rPr>
          <w:rFonts w:hint="eastAsia"/>
          <w:color w:val="auto"/>
          <w:highlight w:val="none"/>
        </w:rPr>
      </w:pPr>
      <w:r>
        <w:rPr>
          <w:rFonts w:hint="eastAsia"/>
          <w:color w:val="auto"/>
          <w:highlight w:val="none"/>
        </w:rPr>
        <w:t>7.9.2提前竣工的奖励：</w:t>
      </w:r>
      <w:r>
        <w:rPr>
          <w:rFonts w:hint="eastAsia"/>
          <w:color w:val="auto"/>
          <w:highlight w:val="none"/>
          <w:u w:val="single"/>
        </w:rPr>
        <w:t xml:space="preserve"> </w:t>
      </w:r>
      <w:r>
        <w:rPr>
          <w:rFonts w:hint="eastAsia"/>
          <w:color w:val="auto"/>
          <w:highlight w:val="none"/>
          <w:u w:val="single"/>
          <w:lang w:val="en-US" w:eastAsia="zh-CN"/>
        </w:rPr>
        <w:t>无</w:t>
      </w:r>
      <w:r>
        <w:rPr>
          <w:rFonts w:hint="eastAsia"/>
          <w:color w:val="auto"/>
          <w:highlight w:val="none"/>
          <w:u w:val="single"/>
        </w:rPr>
        <w:t xml:space="preserve"> </w:t>
      </w:r>
      <w:r>
        <w:rPr>
          <w:rFonts w:hint="eastAsia"/>
          <w:color w:val="auto"/>
          <w:highlight w:val="none"/>
        </w:rPr>
        <w:t>。</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8. 材料与设备</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8.4材料与工程设备的保管与使用</w:t>
      </w:r>
    </w:p>
    <w:p>
      <w:pPr>
        <w:snapToGrid w:val="0"/>
        <w:spacing w:line="440" w:lineRule="exact"/>
        <w:ind w:firstLine="420" w:firstLineChars="200"/>
        <w:jc w:val="left"/>
        <w:rPr>
          <w:rFonts w:hint="default" w:ascii="宋体" w:eastAsia="宋体" w:cs="宋体"/>
          <w:color w:val="auto"/>
          <w:szCs w:val="21"/>
          <w:highlight w:val="none"/>
          <w:u w:val="single"/>
          <w:lang w:val="en-US" w:eastAsia="zh-CN"/>
        </w:rPr>
      </w:pPr>
      <w:r>
        <w:rPr>
          <w:rFonts w:hint="eastAsia" w:ascii="宋体" w:cs="宋体"/>
          <w:color w:val="auto"/>
          <w:szCs w:val="21"/>
          <w:highlight w:val="none"/>
        </w:rPr>
        <w:t>8.4.1发包人供应的材料设备的保管费用的承担：</w:t>
      </w:r>
      <w:r>
        <w:rPr>
          <w:rFonts w:hint="eastAsia" w:ascii="宋体" w:cs="宋体"/>
          <w:color w:val="auto"/>
          <w:szCs w:val="21"/>
          <w:highlight w:val="none"/>
          <w:u w:val="single"/>
          <w:lang w:val="en-US" w:eastAsia="zh-CN"/>
        </w:rPr>
        <w:t>/</w:t>
      </w:r>
      <w:r>
        <w:rPr>
          <w:rFonts w:hint="eastAsia" w:ascii="宋体" w:cs="宋体"/>
          <w:color w:val="auto"/>
          <w:szCs w:val="21"/>
          <w:highlight w:val="none"/>
          <w:u w:val="none"/>
          <w:lang w:val="en-US" w:eastAsia="zh-CN"/>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8.6 样品</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8.6.1样品的报送与封存</w:t>
      </w:r>
    </w:p>
    <w:p>
      <w:pPr>
        <w:snapToGrid w:val="0"/>
        <w:spacing w:line="440" w:lineRule="exact"/>
        <w:ind w:firstLine="420" w:firstLineChars="200"/>
        <w:rPr>
          <w:rFonts w:hint="eastAsia" w:ascii="宋体" w:cs="宋体"/>
          <w:color w:val="auto"/>
          <w:szCs w:val="21"/>
          <w:highlight w:val="none"/>
          <w:u w:val="single"/>
        </w:rPr>
      </w:pPr>
      <w:r>
        <w:rPr>
          <w:rFonts w:hint="eastAsia" w:ascii="宋体" w:cs="宋体"/>
          <w:color w:val="auto"/>
          <w:szCs w:val="21"/>
          <w:highlight w:val="none"/>
        </w:rPr>
        <w:t>需要承包人报送样品的材料或工程设备，样品的种类、名称、规格、数量要求：</w:t>
      </w:r>
      <w:r>
        <w:rPr>
          <w:rFonts w:hint="eastAsia" w:ascii="宋体" w:cs="宋体"/>
          <w:color w:val="auto"/>
          <w:szCs w:val="21"/>
          <w:highlight w:val="none"/>
          <w:u w:val="single"/>
        </w:rPr>
        <w:t xml:space="preserve"> 执行</w:t>
      </w:r>
      <w:r>
        <w:rPr>
          <w:rFonts w:hint="eastAsia" w:ascii="宋体" w:cs="宋体"/>
          <w:color w:val="auto"/>
          <w:szCs w:val="21"/>
          <w:highlight w:val="none"/>
          <w:u w:val="single"/>
          <w:lang w:val="en-US" w:eastAsia="zh-CN"/>
        </w:rPr>
        <w:t>招标</w:t>
      </w:r>
      <w:r>
        <w:rPr>
          <w:rFonts w:hint="eastAsia" w:ascii="宋体" w:cs="宋体"/>
          <w:color w:val="auto"/>
          <w:szCs w:val="21"/>
          <w:highlight w:val="none"/>
          <w:u w:val="single"/>
        </w:rPr>
        <w:t xml:space="preserve">文件。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8.8 施工设备和临时设施</w:t>
      </w:r>
    </w:p>
    <w:p>
      <w:pPr>
        <w:autoSpaceDE w:val="0"/>
        <w:autoSpaceDN w:val="0"/>
        <w:adjustRightInd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8.8.1 承包人提供的施工设备和临时设施</w:t>
      </w:r>
    </w:p>
    <w:p>
      <w:pPr>
        <w:autoSpaceDE w:val="0"/>
        <w:autoSpaceDN w:val="0"/>
        <w:adjustRightInd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关于修建临时设施费用承担的约定：</w:t>
      </w:r>
      <w:r>
        <w:rPr>
          <w:rFonts w:hint="eastAsia" w:ascii="宋体" w:cs="宋体"/>
          <w:color w:val="auto"/>
          <w:szCs w:val="21"/>
          <w:highlight w:val="none"/>
          <w:u w:val="single"/>
        </w:rPr>
        <w:t xml:space="preserve">  由承包人自行承担费用   </w:t>
      </w:r>
      <w:r>
        <w:rPr>
          <w:rFonts w:hint="eastAsia" w:ascii="宋体" w:cs="宋体"/>
          <w:color w:val="auto"/>
          <w:szCs w:val="21"/>
          <w:highlight w:val="none"/>
        </w:rPr>
        <w:t>。</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9. 试验与检验</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9.1试验设备与试验人员</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9.1.2 试验设备</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施工现场需要配置的试验场所：</w:t>
      </w:r>
      <w:r>
        <w:rPr>
          <w:rFonts w:hint="eastAsia" w:ascii="宋体" w:cs="宋体"/>
          <w:color w:val="auto"/>
          <w:szCs w:val="21"/>
          <w:highlight w:val="none"/>
          <w:u w:val="single"/>
        </w:rPr>
        <w:t xml:space="preserve">   执行</w:t>
      </w:r>
      <w:r>
        <w:rPr>
          <w:rFonts w:hint="eastAsia" w:ascii="宋体" w:cs="宋体"/>
          <w:color w:val="auto"/>
          <w:szCs w:val="21"/>
          <w:highlight w:val="none"/>
          <w:u w:val="single"/>
          <w:lang w:val="en-US" w:eastAsia="zh-CN"/>
        </w:rPr>
        <w:t>招标</w:t>
      </w:r>
      <w:r>
        <w:rPr>
          <w:rFonts w:hint="eastAsia" w:ascii="宋体" w:cs="宋体"/>
          <w:color w:val="auto"/>
          <w:szCs w:val="21"/>
          <w:highlight w:val="none"/>
          <w:u w:val="single"/>
        </w:rPr>
        <w:t xml:space="preserve">文件   </w:t>
      </w:r>
      <w:r>
        <w:rPr>
          <w:rFonts w:hint="eastAsia" w:ascii="宋体" w:cs="宋体"/>
          <w:color w:val="auto"/>
          <w:szCs w:val="21"/>
          <w:highlight w:val="none"/>
        </w:rPr>
        <w:t xml:space="preserve">。 </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施工现场需要配备的试验设备：</w:t>
      </w:r>
      <w:r>
        <w:rPr>
          <w:rFonts w:hint="eastAsia" w:ascii="宋体" w:cs="宋体"/>
          <w:color w:val="auto"/>
          <w:szCs w:val="21"/>
          <w:highlight w:val="none"/>
          <w:u w:val="single"/>
        </w:rPr>
        <w:t xml:space="preserve">   执行</w:t>
      </w:r>
      <w:r>
        <w:rPr>
          <w:rFonts w:hint="eastAsia" w:ascii="宋体" w:cs="宋体"/>
          <w:color w:val="auto"/>
          <w:szCs w:val="21"/>
          <w:highlight w:val="none"/>
          <w:u w:val="single"/>
          <w:lang w:val="en-US" w:eastAsia="zh-CN"/>
        </w:rPr>
        <w:t>招标</w:t>
      </w:r>
      <w:r>
        <w:rPr>
          <w:rFonts w:hint="eastAsia" w:ascii="宋体" w:cs="宋体"/>
          <w:color w:val="auto"/>
          <w:szCs w:val="21"/>
          <w:highlight w:val="none"/>
          <w:u w:val="single"/>
        </w:rPr>
        <w:t xml:space="preserve">文件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施工现场需要具备的其他试验条件：</w:t>
      </w:r>
      <w:r>
        <w:rPr>
          <w:rFonts w:hint="eastAsia" w:ascii="宋体" w:cs="宋体"/>
          <w:color w:val="auto"/>
          <w:szCs w:val="21"/>
          <w:highlight w:val="none"/>
          <w:u w:val="single"/>
        </w:rPr>
        <w:t xml:space="preserve">   执行</w:t>
      </w:r>
      <w:r>
        <w:rPr>
          <w:rFonts w:hint="eastAsia" w:ascii="宋体" w:cs="宋体"/>
          <w:color w:val="auto"/>
          <w:szCs w:val="21"/>
          <w:highlight w:val="none"/>
          <w:u w:val="single"/>
          <w:lang w:val="en-US" w:eastAsia="zh-CN"/>
        </w:rPr>
        <w:t>招标</w:t>
      </w:r>
      <w:r>
        <w:rPr>
          <w:rFonts w:hint="eastAsia" w:ascii="宋体" w:cs="宋体"/>
          <w:color w:val="auto"/>
          <w:szCs w:val="21"/>
          <w:highlight w:val="none"/>
          <w:u w:val="single"/>
        </w:rPr>
        <w:t xml:space="preserve">文件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 xml:space="preserve">9.4 现场工艺试验 </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现场工艺试验的有关约定：</w:t>
      </w:r>
      <w:r>
        <w:rPr>
          <w:rFonts w:hint="eastAsia" w:ascii="宋体" w:cs="宋体"/>
          <w:color w:val="auto"/>
          <w:szCs w:val="21"/>
          <w:highlight w:val="none"/>
          <w:u w:val="single"/>
        </w:rPr>
        <w:t xml:space="preserve">   按监理人指示    </w:t>
      </w:r>
      <w:r>
        <w:rPr>
          <w:rFonts w:hint="eastAsia" w:ascii="宋体" w:cs="宋体"/>
          <w:color w:val="auto"/>
          <w:szCs w:val="21"/>
          <w:highlight w:val="none"/>
        </w:rPr>
        <w:t>。</w:t>
      </w:r>
    </w:p>
    <w:p>
      <w:pPr>
        <w:pStyle w:val="5"/>
        <w:snapToGrid w:val="0"/>
        <w:spacing w:before="0" w:after="0" w:line="440" w:lineRule="exact"/>
        <w:ind w:firstLine="420" w:firstLine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10. 变更</w:t>
      </w:r>
    </w:p>
    <w:p>
      <w:pPr>
        <w:snapToGrid w:val="0"/>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10.1变更的范围</w:t>
      </w:r>
    </w:p>
    <w:p>
      <w:pPr>
        <w:snapToGrid w:val="0"/>
        <w:spacing w:line="44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关于变更范围的约定：</w:t>
      </w:r>
      <w:r>
        <w:rPr>
          <w:rFonts w:hint="eastAsia" w:ascii="宋体" w:hAnsi="宋体" w:cs="宋体"/>
          <w:b/>
          <w:color w:val="auto"/>
          <w:szCs w:val="21"/>
          <w:highlight w:val="none"/>
          <w:u w:val="single"/>
        </w:rPr>
        <w:t>执行合同通用条款</w:t>
      </w:r>
      <w:r>
        <w:rPr>
          <w:rFonts w:hint="eastAsia" w:ascii="宋体" w:hAnsi="宋体" w:cs="宋体"/>
          <w:b/>
          <w:bCs/>
          <w:color w:val="auto"/>
          <w:szCs w:val="21"/>
          <w:highlight w:val="none"/>
          <w:u w:val="single"/>
        </w:rPr>
        <w:t>。</w:t>
      </w:r>
    </w:p>
    <w:p>
      <w:pPr>
        <w:snapToGrid w:val="0"/>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10.4 变更估价</w:t>
      </w:r>
    </w:p>
    <w:p>
      <w:pPr>
        <w:snapToGrid w:val="0"/>
        <w:spacing w:line="44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10.4.1变更估价原则</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 xml:space="preserve">   </w:t>
      </w:r>
      <w:r>
        <w:rPr>
          <w:rFonts w:hint="eastAsia" w:ascii="宋体" w:hAnsi="宋体" w:cs="宋体"/>
          <w:color w:val="auto"/>
          <w:szCs w:val="21"/>
          <w:highlight w:val="none"/>
        </w:rPr>
        <w:t>关于变更估价的约定:</w:t>
      </w:r>
    </w:p>
    <w:p>
      <w:pPr>
        <w:pStyle w:val="14"/>
        <w:spacing w:after="0" w:line="440" w:lineRule="exact"/>
        <w:ind w:left="0" w:leftChars="0" w:firstLine="422"/>
        <w:rPr>
          <w:rFonts w:hint="eastAsia" w:ascii="宋体" w:hAnsi="宋体" w:cs="宋体"/>
          <w:b/>
          <w:color w:val="auto"/>
          <w:highlight w:val="none"/>
          <w:u w:val="single"/>
        </w:rPr>
      </w:pPr>
      <w:r>
        <w:rPr>
          <w:rFonts w:hint="eastAsia" w:ascii="宋体" w:hAnsi="宋体" w:cs="宋体"/>
          <w:b/>
          <w:bCs/>
          <w:color w:val="auto"/>
          <w:szCs w:val="21"/>
          <w:highlight w:val="none"/>
          <w:u w:val="single"/>
        </w:rPr>
        <w:t>变更导致结算工程量（含1.13清单工程量错误产生的工程量）减少0-100%或增加15%以内部分，执行下列第（1）款或第（2）款确定的单价；但超出15%以外部分，结算单价按第（1）款或第（2）款对应的最高限价单价×响应让利幅度计算，组价明显错误的予以纠正；</w:t>
      </w:r>
      <w:r>
        <w:rPr>
          <w:rFonts w:ascii="宋体" w:hAnsi="宋体" w:cs="宋体"/>
          <w:b/>
          <w:bCs/>
          <w:color w:val="auto"/>
          <w:szCs w:val="21"/>
          <w:highlight w:val="none"/>
          <w:u w:val="single"/>
        </w:rPr>
        <w:t>已标价工程量清单或预算书中无相同项目及类似项目单价的</w:t>
      </w:r>
      <w:r>
        <w:rPr>
          <w:rFonts w:hint="eastAsia" w:ascii="宋体" w:hAnsi="宋体" w:cs="宋体"/>
          <w:b/>
          <w:bCs/>
          <w:color w:val="auto"/>
          <w:szCs w:val="21"/>
          <w:highlight w:val="none"/>
          <w:u w:val="single"/>
        </w:rPr>
        <w:t>新增项目单价按照最高限价的编制原则重新组价×响应让利幅度（上述响应让利幅度为中</w:t>
      </w:r>
      <w:r>
        <w:rPr>
          <w:rFonts w:hint="eastAsia" w:ascii="宋体" w:hAnsi="宋体" w:cs="宋体"/>
          <w:b/>
          <w:bCs/>
          <w:color w:val="auto"/>
          <w:szCs w:val="21"/>
          <w:highlight w:val="none"/>
          <w:u w:val="single"/>
          <w:lang w:val="en-US" w:eastAsia="zh-CN"/>
        </w:rPr>
        <w:t>标</w:t>
      </w:r>
      <w:r>
        <w:rPr>
          <w:rFonts w:hint="eastAsia" w:ascii="宋体" w:hAnsi="宋体" w:cs="宋体"/>
          <w:b/>
          <w:bCs/>
          <w:color w:val="auto"/>
          <w:szCs w:val="21"/>
          <w:highlight w:val="none"/>
          <w:u w:val="single"/>
        </w:rPr>
        <w:t>价/最高限价，其中中</w:t>
      </w:r>
      <w:r>
        <w:rPr>
          <w:rFonts w:hint="eastAsia" w:ascii="宋体" w:hAnsi="宋体" w:cs="宋体"/>
          <w:b/>
          <w:bCs/>
          <w:color w:val="auto"/>
          <w:szCs w:val="21"/>
          <w:highlight w:val="none"/>
          <w:u w:val="single"/>
          <w:lang w:val="en-US" w:eastAsia="zh-CN"/>
        </w:rPr>
        <w:t>标</w:t>
      </w:r>
      <w:r>
        <w:rPr>
          <w:rFonts w:hint="eastAsia" w:ascii="宋体" w:hAnsi="宋体" w:cs="宋体"/>
          <w:b/>
          <w:bCs/>
          <w:color w:val="auto"/>
          <w:szCs w:val="21"/>
          <w:highlight w:val="none"/>
          <w:u w:val="single"/>
        </w:rPr>
        <w:t>价和最高限价均扣除暂列金额、暂估价及相应税金），结算价格最终以相关部门审核价为准；</w:t>
      </w:r>
    </w:p>
    <w:p>
      <w:pPr>
        <w:pStyle w:val="14"/>
        <w:spacing w:after="0" w:line="440" w:lineRule="exact"/>
        <w:ind w:left="0" w:leftChars="0" w:firstLine="422"/>
        <w:rPr>
          <w:rFonts w:hint="eastAsia" w:ascii="宋体" w:hAnsi="宋体" w:cs="宋体"/>
          <w:b/>
          <w:color w:val="auto"/>
          <w:highlight w:val="none"/>
          <w:u w:val="single"/>
        </w:rPr>
      </w:pPr>
      <w:r>
        <w:rPr>
          <w:rFonts w:hint="eastAsia" w:ascii="宋体" w:hAnsi="宋体" w:cs="宋体"/>
          <w:b/>
          <w:color w:val="auto"/>
          <w:highlight w:val="none"/>
          <w:u w:val="single"/>
        </w:rPr>
        <w:t>（1）已标价工程量清单或预算书有相同项目的，按照相同项目单价认定；</w:t>
      </w:r>
    </w:p>
    <w:p>
      <w:pPr>
        <w:autoSpaceDE w:val="0"/>
        <w:autoSpaceDN w:val="0"/>
        <w:adjustRightInd w:val="0"/>
        <w:spacing w:line="360" w:lineRule="auto"/>
        <w:ind w:firstLine="422"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w:t>
      </w:r>
      <w:r>
        <w:rPr>
          <w:rFonts w:hint="eastAsia" w:ascii="宋体" w:hAnsi="宋体" w:cs="宋体"/>
          <w:b/>
          <w:color w:val="auto"/>
          <w:highlight w:val="none"/>
          <w:u w:val="single"/>
        </w:rPr>
        <w:t>已标价工程量清单或预算书中无相同项目，但有类似项目的，参照类似项目的单价认定。</w:t>
      </w:r>
    </w:p>
    <w:p>
      <w:pPr>
        <w:snapToGrid w:val="0"/>
        <w:spacing w:line="440" w:lineRule="exact"/>
        <w:ind w:firstLine="420" w:firstLineChars="200"/>
        <w:rPr>
          <w:rFonts w:hint="eastAsia" w:ascii="宋体" w:hAnsi="宋体" w:cs="宋体"/>
          <w:b/>
          <w:color w:val="auto"/>
          <w:szCs w:val="21"/>
          <w:highlight w:val="none"/>
          <w:u w:val="single"/>
        </w:rPr>
      </w:pPr>
      <w:r>
        <w:rPr>
          <w:rFonts w:hint="eastAsia" w:ascii="宋体" w:hAnsi="宋体" w:cs="宋体"/>
          <w:color w:val="auto"/>
          <w:szCs w:val="21"/>
          <w:highlight w:val="none"/>
        </w:rPr>
        <w:t>技术措施费调整：</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u w:val="single"/>
          <w:lang w:val="en-US" w:eastAsia="zh-CN"/>
        </w:rPr>
        <w:t>不调整</w:t>
      </w:r>
      <w:r>
        <w:rPr>
          <w:rFonts w:hint="eastAsia" w:ascii="宋体" w:hAnsi="宋体" w:cs="宋体"/>
          <w:b/>
          <w:color w:val="auto"/>
          <w:szCs w:val="21"/>
          <w:highlight w:val="none"/>
          <w:u w:val="single"/>
        </w:rPr>
        <w:t>。</w:t>
      </w:r>
    </w:p>
    <w:p>
      <w:pPr>
        <w:snapToGrid w:val="0"/>
        <w:spacing w:line="44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组织措施费调整：</w:t>
      </w:r>
      <w:r>
        <w:rPr>
          <w:rFonts w:hint="eastAsia" w:ascii="宋体" w:hAnsi="宋体" w:cs="宋体"/>
          <w:b/>
          <w:color w:val="auto"/>
          <w:szCs w:val="21"/>
          <w:highlight w:val="none"/>
          <w:u w:val="single"/>
          <w:lang w:val="en-US" w:eastAsia="zh-CN"/>
        </w:rPr>
        <w:t>不调整</w:t>
      </w:r>
      <w:r>
        <w:rPr>
          <w:rFonts w:hint="eastAsia" w:ascii="宋体" w:hAnsi="宋体" w:cs="宋体"/>
          <w:b/>
          <w:color w:val="auto"/>
          <w:szCs w:val="21"/>
          <w:highlight w:val="none"/>
          <w:u w:val="singl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10.5承包人的合理化建议</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监理人审查承包人合理化建议的期限：</w:t>
      </w:r>
      <w:r>
        <w:rPr>
          <w:rFonts w:hint="eastAsia" w:ascii="宋体" w:cs="宋体"/>
          <w:color w:val="auto"/>
          <w:szCs w:val="21"/>
          <w:highlight w:val="none"/>
          <w:u w:val="single"/>
        </w:rPr>
        <w:t xml:space="preserve"> 监理人应在收到承包人提交的合理化建议后7天内审查完毕并报送发包人，发现其中存在技术上的缺陷，应通知承包人修改。</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发包人审批承包人合理化建议的期限：</w:t>
      </w:r>
      <w:r>
        <w:rPr>
          <w:rFonts w:hint="eastAsia" w:ascii="宋体" w:cs="宋体"/>
          <w:color w:val="auto"/>
          <w:szCs w:val="21"/>
          <w:highlight w:val="none"/>
          <w:u w:val="single"/>
        </w:rPr>
        <w:t xml:space="preserve"> 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承包人提出的合理化建议降低了合同价格或者提高了工程经济效益的奖励的方法和金额为：</w:t>
      </w:r>
      <w:r>
        <w:rPr>
          <w:rFonts w:hint="eastAsia" w:ascii="宋体" w:cs="宋体"/>
          <w:color w:val="auto"/>
          <w:szCs w:val="21"/>
          <w:highlight w:val="none"/>
          <w:lang w:val="en-US" w:eastAsia="zh-CN"/>
        </w:rPr>
        <w:t>无</w:t>
      </w:r>
      <w:r>
        <w:rPr>
          <w:rFonts w:hint="eastAsia"/>
          <w:color w:val="auto"/>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10.7 暂估价</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暂估价材料和工程设备的明细</w:t>
      </w:r>
      <w:r>
        <w:rPr>
          <w:rFonts w:hint="eastAsia" w:ascii="宋体" w:cs="宋体"/>
          <w:color w:val="auto"/>
          <w:kern w:val="0"/>
          <w:szCs w:val="21"/>
          <w:highlight w:val="none"/>
          <w:u w:val="single"/>
        </w:rPr>
        <w:t>详见《暂估价一览表》。</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10.7.1 依法必须招标的暂估价项目</w:t>
      </w:r>
    </w:p>
    <w:p>
      <w:pPr>
        <w:adjustRightInd w:val="0"/>
        <w:snapToGrid w:val="0"/>
        <w:spacing w:line="384" w:lineRule="auto"/>
        <w:ind w:firstLine="420" w:firstLineChars="200"/>
        <w:rPr>
          <w:rFonts w:hint="eastAsia" w:ascii="宋体" w:hAnsi="宋体" w:cs="宋体"/>
          <w:color w:val="auto"/>
          <w:highlight w:val="none"/>
        </w:rPr>
      </w:pPr>
      <w:r>
        <w:rPr>
          <w:rFonts w:hint="eastAsia" w:ascii="宋体" w:hAnsi="宋体" w:cs="宋体"/>
          <w:color w:val="auto"/>
          <w:highlight w:val="none"/>
        </w:rPr>
        <w:t>对于依法必须招标的暂估价项目的确认和批准采取第</w:t>
      </w:r>
      <w:r>
        <w:rPr>
          <w:rFonts w:hint="eastAsia" w:ascii="宋体" w:hAnsi="宋体" w:cs="宋体"/>
          <w:color w:val="auto"/>
          <w:highlight w:val="none"/>
          <w:u w:val="single"/>
        </w:rPr>
        <w:t xml:space="preserve">  2  </w:t>
      </w:r>
      <w:r>
        <w:rPr>
          <w:rFonts w:hint="eastAsia" w:ascii="宋体" w:hAnsi="宋体" w:cs="宋体"/>
          <w:color w:val="auto"/>
          <w:highlight w:val="none"/>
        </w:rPr>
        <w:t>种方式确定。</w:t>
      </w:r>
      <w:r>
        <w:rPr>
          <w:rFonts w:hint="eastAsia" w:ascii="宋体" w:hAnsi="宋体" w:cs="宋体"/>
          <w:b/>
          <w:color w:val="auto"/>
          <w:highlight w:val="none"/>
          <w:u w:val="single"/>
        </w:rPr>
        <w:t xml:space="preserve">并应按相关规定进行二次招标  </w:t>
      </w:r>
      <w:r>
        <w:rPr>
          <w:rFonts w:hint="eastAsia" w:ascii="宋体" w:hAnsi="宋体" w:cs="宋体"/>
          <w:color w:val="auto"/>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10.7.2 不属于依法必须招标的暂估价项目</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u w:val="single"/>
        </w:rPr>
        <w:t>对于不属于依法必须招标的暂估价项目的确认和批准采取询价或共同交易方式确定。</w:t>
      </w:r>
    </w:p>
    <w:p>
      <w:pPr>
        <w:pStyle w:val="14"/>
        <w:spacing w:after="0" w:line="440" w:lineRule="exact"/>
        <w:ind w:left="0" w:leftChars="0"/>
        <w:rPr>
          <w:rFonts w:hint="eastAsia"/>
          <w:color w:val="auto"/>
          <w:highlight w:val="none"/>
        </w:rPr>
      </w:pPr>
      <w:r>
        <w:rPr>
          <w:rFonts w:hint="eastAsia"/>
          <w:color w:val="auto"/>
          <w:highlight w:val="none"/>
        </w:rPr>
        <w:t>第3种方式：承包人直接实施的暂估价项目</w:t>
      </w:r>
    </w:p>
    <w:p>
      <w:pPr>
        <w:pStyle w:val="14"/>
        <w:spacing w:after="0" w:line="440" w:lineRule="exact"/>
        <w:ind w:left="0" w:leftChars="0"/>
        <w:rPr>
          <w:rFonts w:hint="eastAsia"/>
          <w:color w:val="auto"/>
          <w:highlight w:val="none"/>
        </w:rPr>
      </w:pPr>
      <w:r>
        <w:rPr>
          <w:rFonts w:hint="eastAsia"/>
          <w:color w:val="auto"/>
          <w:highlight w:val="none"/>
        </w:rPr>
        <w:t>承包人直接实施的暂估价项目的约定：</w:t>
      </w:r>
      <w:r>
        <w:rPr>
          <w:rFonts w:hint="eastAsia"/>
          <w:color w:val="auto"/>
          <w:highlight w:val="none"/>
          <w:u w:val="single"/>
        </w:rPr>
        <w:t xml:space="preserve">   无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10.8 暂列金额</w:t>
      </w:r>
    </w:p>
    <w:p>
      <w:pPr>
        <w:autoSpaceDE w:val="0"/>
        <w:autoSpaceDN w:val="0"/>
        <w:adjustRightInd w:val="0"/>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合同当事人关于暂列金额使用的约定：</w:t>
      </w:r>
      <w:r>
        <w:rPr>
          <w:rFonts w:hint="eastAsia" w:ascii="宋体" w:cs="宋体"/>
          <w:color w:val="auto"/>
          <w:szCs w:val="21"/>
          <w:highlight w:val="none"/>
          <w:u w:val="single"/>
        </w:rPr>
        <w:t xml:space="preserve"> 暂列金额应按照发包人的要求使用。</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11. 价格调整</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11.1 市场价格波动引起的调整</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市场价格波动是否调整合同价格的约定：</w:t>
      </w:r>
      <w:r>
        <w:rPr>
          <w:rFonts w:hint="eastAsia" w:ascii="宋体" w:cs="宋体"/>
          <w:color w:val="auto"/>
          <w:szCs w:val="21"/>
          <w:highlight w:val="none"/>
          <w:u w:val="single"/>
        </w:rPr>
        <w:t xml:space="preserve"> 不调整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因市场价格波动调整合同价格，采用以下第</w:t>
      </w:r>
      <w:r>
        <w:rPr>
          <w:rFonts w:hint="eastAsia" w:ascii="宋体" w:cs="宋体"/>
          <w:color w:val="auto"/>
          <w:szCs w:val="21"/>
          <w:highlight w:val="none"/>
          <w:u w:val="single"/>
        </w:rPr>
        <w:t xml:space="preserve">  3  </w:t>
      </w:r>
      <w:r>
        <w:rPr>
          <w:rFonts w:hint="eastAsia" w:ascii="宋体" w:cs="宋体"/>
          <w:color w:val="auto"/>
          <w:szCs w:val="21"/>
          <w:highlight w:val="none"/>
        </w:rPr>
        <w:t>种方式对合同价格进行调整：</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第2种方式：采用造价信息进行价格调整。</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第3种方式：其他价格调整方式：</w:t>
      </w:r>
      <w:r>
        <w:rPr>
          <w:rFonts w:hint="eastAsia" w:ascii="宋体" w:cs="宋体"/>
          <w:color w:val="auto"/>
          <w:szCs w:val="21"/>
          <w:highlight w:val="none"/>
          <w:u w:val="single"/>
        </w:rPr>
        <w:t>不调整</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12. 合同价格、计量与支付</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12.1 合同价格形式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1、单价合同。</w:t>
      </w:r>
    </w:p>
    <w:p>
      <w:pPr>
        <w:snapToGrid w:val="0"/>
        <w:spacing w:line="440" w:lineRule="exact"/>
        <w:ind w:firstLine="420" w:firstLineChars="200"/>
        <w:jc w:val="left"/>
        <w:rPr>
          <w:rFonts w:hint="eastAsia" w:ascii="宋体" w:cs="宋体"/>
          <w:b/>
          <w:color w:val="auto"/>
          <w:szCs w:val="21"/>
          <w:highlight w:val="none"/>
          <w:u w:val="single"/>
        </w:rPr>
      </w:pPr>
      <w:r>
        <w:rPr>
          <w:rFonts w:hint="eastAsia" w:ascii="宋体" w:cs="宋体"/>
          <w:color w:val="auto"/>
          <w:szCs w:val="21"/>
          <w:highlight w:val="none"/>
        </w:rPr>
        <w:t>综合单价包含的风险范围：</w:t>
      </w:r>
      <w:r>
        <w:rPr>
          <w:rFonts w:hint="eastAsia" w:ascii="黑体" w:eastAsia="黑体" w:cs="宋体"/>
          <w:b/>
          <w:color w:val="auto"/>
          <w:szCs w:val="21"/>
          <w:highlight w:val="none"/>
          <w:u w:val="single"/>
        </w:rPr>
        <w:t>各种因素引起的不属于本合同调价范围的市场材料价格、人工、机械使用费以及管理费、利润的变化等</w:t>
      </w:r>
      <w:r>
        <w:rPr>
          <w:rFonts w:hint="eastAsia" w:ascii="宋体" w:cs="宋体"/>
          <w:b/>
          <w:color w:val="auto"/>
          <w:szCs w:val="21"/>
          <w:highlight w:val="none"/>
          <w:u w:val="single"/>
        </w:rPr>
        <w:t>。</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风险费用的计算方法：</w:t>
      </w:r>
      <w:r>
        <w:rPr>
          <w:rFonts w:hint="eastAsia" w:ascii="宋体" w:cs="宋体"/>
          <w:color w:val="auto"/>
          <w:szCs w:val="21"/>
          <w:highlight w:val="none"/>
          <w:u w:val="single"/>
        </w:rPr>
        <w:t xml:space="preserve"> 不考虑  </w:t>
      </w:r>
    </w:p>
    <w:p>
      <w:pPr>
        <w:snapToGrid w:val="0"/>
        <w:spacing w:line="440" w:lineRule="exact"/>
        <w:ind w:firstLine="420" w:firstLineChars="200"/>
        <w:jc w:val="left"/>
        <w:rPr>
          <w:rFonts w:hint="eastAsia" w:ascii="宋体" w:hAnsi="宋体" w:cs="宋体"/>
          <w:bCs/>
          <w:color w:val="auto"/>
          <w:szCs w:val="21"/>
          <w:highlight w:val="none"/>
          <w:u w:val="single"/>
        </w:rPr>
      </w:pPr>
      <w:r>
        <w:rPr>
          <w:rFonts w:hint="eastAsia"/>
          <w:color w:val="auto"/>
          <w:highlight w:val="none"/>
        </w:rPr>
        <w:t>风险范围以外合同价格的调整方法：</w:t>
      </w:r>
      <w:r>
        <w:rPr>
          <w:rFonts w:hint="eastAsia" w:ascii="宋体" w:hAnsi="宋体" w:cs="宋体"/>
          <w:bCs/>
          <w:color w:val="auto"/>
          <w:szCs w:val="21"/>
          <w:highlight w:val="none"/>
          <w:u w:val="single"/>
        </w:rPr>
        <w:t xml:space="preserve">结算价=合同价±工程变更造价±分部分项工程量清单工程量误差造价±政策性调整造价－暂列金额×1.09± 合理工程索赔。 </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12.2 预付款</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12.2.1 预付款的支付</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预付款支付比例或金额：</w:t>
      </w:r>
      <w:r>
        <w:rPr>
          <w:rFonts w:hint="eastAsia" w:ascii="宋体" w:cs="宋体"/>
          <w:color w:val="auto"/>
          <w:szCs w:val="21"/>
          <w:highlight w:val="none"/>
          <w:u w:val="single"/>
        </w:rPr>
        <w:t xml:space="preserve">   不考虑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预付款支付期限：</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预付款扣回的方式：</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12.2.2 预付款担保</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承包人提交预付款担保的期限：</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预付款担保的形式为：</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12.3 计量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12.3.1 计量原则</w:t>
      </w:r>
    </w:p>
    <w:p>
      <w:pPr>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工程量计算规则：</w:t>
      </w:r>
      <w:r>
        <w:rPr>
          <w:rFonts w:hint="eastAsia" w:ascii="宋体" w:cs="宋体"/>
          <w:color w:val="auto"/>
          <w:szCs w:val="21"/>
          <w:highlight w:val="none"/>
          <w:u w:val="single"/>
        </w:rPr>
        <w:t>执行现行建设工程工程量清单计价规范（GB50500）、安徽省建设工程计价依据。</w:t>
      </w:r>
    </w:p>
    <w:p>
      <w:pPr>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12.3.2 计量周期</w:t>
      </w:r>
    </w:p>
    <w:p>
      <w:pPr>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关于计量周期的约定：</w:t>
      </w:r>
      <w:r>
        <w:rPr>
          <w:rFonts w:hint="eastAsia" w:ascii="宋体" w:cs="宋体"/>
          <w:color w:val="auto"/>
          <w:szCs w:val="21"/>
          <w:highlight w:val="none"/>
          <w:u w:val="single"/>
        </w:rPr>
        <w:t xml:space="preserve">   按月计量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12.3.3 单价合同的计量</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关于单价合同计量的约定：</w:t>
      </w:r>
      <w:r>
        <w:rPr>
          <w:rFonts w:hint="eastAsia" w:ascii="宋体" w:cs="宋体"/>
          <w:color w:val="auto"/>
          <w:szCs w:val="21"/>
          <w:highlight w:val="none"/>
          <w:u w:val="single"/>
        </w:rPr>
        <w:t>（1）承包人应于每月25日向监理人报送上月20日至当月19日已完成的工程量报告，并附具进度付款申请单、已完成工程量报表和有关资料。（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3）监理人未在收到承包人提交的工程量报表后的7天内完成审核的，承包人报送的工程量报告中的工程量视为承包人实际完成的工程量，据此计算工程价款。</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12.3.4 总价合同的计量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关于总价合同计量的约定：</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12.3.5总价合同采用支付分解表计量支付的，是否适用第</w:t>
      </w:r>
      <w:r>
        <w:rPr>
          <w:rFonts w:hint="eastAsia" w:ascii="宋体" w:cs="宋体"/>
          <w:color w:val="auto"/>
          <w:kern w:val="0"/>
          <w:szCs w:val="21"/>
          <w:highlight w:val="none"/>
        </w:rPr>
        <w:t xml:space="preserve">12.3.4 </w:t>
      </w:r>
      <w:r>
        <w:rPr>
          <w:rFonts w:hint="eastAsia" w:ascii="宋体" w:cs="宋体"/>
          <w:color w:val="auto"/>
          <w:szCs w:val="21"/>
          <w:highlight w:val="none"/>
        </w:rPr>
        <w:t>项</w:t>
      </w:r>
      <w:r>
        <w:rPr>
          <w:rFonts w:hint="eastAsia" w:ascii="宋体" w:cs="宋体"/>
          <w:color w:val="auto"/>
          <w:kern w:val="0"/>
          <w:szCs w:val="21"/>
          <w:highlight w:val="none"/>
        </w:rPr>
        <w:t>〔总价合同的计量〕</w:t>
      </w:r>
      <w:r>
        <w:rPr>
          <w:rFonts w:hint="eastAsia" w:ascii="宋体" w:cs="宋体"/>
          <w:color w:val="auto"/>
          <w:szCs w:val="21"/>
          <w:highlight w:val="none"/>
        </w:rPr>
        <w:t>约定进行计量：</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12.3.6 其他价格形式合同的计量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其他价格形式的计量方式和程序：</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12.4 工程进度款支付</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12.4.1 付款周期</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关于付款周期的约定：</w:t>
      </w:r>
      <w:r>
        <w:rPr>
          <w:rFonts w:hint="eastAsia" w:ascii="宋体" w:cs="宋体"/>
          <w:color w:val="auto"/>
          <w:szCs w:val="21"/>
          <w:highlight w:val="none"/>
          <w:u w:val="single"/>
        </w:rPr>
        <w:t xml:space="preserve">    详见支付方式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12.4.2 进度付款申请单的编制</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关于进度付款申请单编制的约定：</w:t>
      </w:r>
      <w:r>
        <w:rPr>
          <w:rFonts w:hint="eastAsia" w:ascii="宋体" w:cs="宋体"/>
          <w:color w:val="auto"/>
          <w:szCs w:val="21"/>
          <w:highlight w:val="none"/>
          <w:u w:val="single"/>
        </w:rPr>
        <w:t>执行发包人统一内容格式。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12.4.3 进度付款申请单的提交</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（1）单价合同进度付款申请单提交的约定：</w:t>
      </w:r>
      <w:r>
        <w:rPr>
          <w:rFonts w:hint="eastAsia" w:ascii="宋体" w:cs="宋体"/>
          <w:color w:val="auto"/>
          <w:szCs w:val="21"/>
          <w:highlight w:val="none"/>
          <w:u w:val="single"/>
        </w:rPr>
        <w:t xml:space="preserve"> </w:t>
      </w:r>
      <w:r>
        <w:rPr>
          <w:rFonts w:hint="eastAsia" w:ascii="宋体" w:hAnsi="宋体" w:cs="宋体"/>
          <w:color w:val="auto"/>
          <w:szCs w:val="21"/>
          <w:highlight w:val="none"/>
          <w:u w:val="single"/>
        </w:rPr>
        <w:t>无</w:t>
      </w:r>
      <w:r>
        <w:rPr>
          <w:rFonts w:hint="eastAsia" w:ascii="黑体" w:eastAsia="黑体" w:cs="宋体"/>
          <w:b/>
          <w:bCs/>
          <w:color w:val="auto"/>
          <w:szCs w:val="21"/>
          <w:highlight w:val="none"/>
          <w:u w:val="singl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（2）总价合同进度付款申请单提交的约定：</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（3）其他价格形式合同进度付款申请单提交的约定：</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12.4.4 进度款审核和支付</w:t>
      </w:r>
    </w:p>
    <w:p>
      <w:pPr>
        <w:snapToGrid w:val="0"/>
        <w:spacing w:line="440" w:lineRule="exact"/>
        <w:ind w:firstLine="420" w:firstLineChars="200"/>
        <w:jc w:val="left"/>
        <w:rPr>
          <w:rFonts w:hint="eastAsia"/>
          <w:color w:val="auto"/>
          <w:highlight w:val="none"/>
        </w:rPr>
      </w:pPr>
      <w:r>
        <w:rPr>
          <w:rFonts w:hint="eastAsia" w:ascii="宋体" w:cs="宋体"/>
          <w:color w:val="auto"/>
          <w:szCs w:val="21"/>
          <w:highlight w:val="none"/>
        </w:rPr>
        <w:t>（1）监理人审查并报送发包人的期限：</w:t>
      </w:r>
      <w:r>
        <w:rPr>
          <w:rFonts w:hint="eastAsia" w:ascii="宋体" w:cs="宋体"/>
          <w:color w:val="auto"/>
          <w:szCs w:val="21"/>
          <w:highlight w:val="none"/>
          <w:u w:val="single"/>
        </w:rPr>
        <w:t xml:space="preserve"> 监理人应在收到承包人进度付款申请单以及相关资料后7天内完成审查并报送发包人。</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发包人完成审批并签发进度款支付证书的期限：</w:t>
      </w:r>
      <w:r>
        <w:rPr>
          <w:rFonts w:hint="eastAsia" w:ascii="宋体" w:cs="宋体"/>
          <w:color w:val="auto"/>
          <w:szCs w:val="21"/>
          <w:highlight w:val="none"/>
          <w:u w:val="single"/>
        </w:rPr>
        <w:t>发包人应在收到后7天内完成审批并签发进度款支付证书，跟踪审计人员审核时间除外</w:t>
      </w:r>
      <w:r>
        <w:rPr>
          <w:rFonts w:hint="eastAsia" w:ascii="宋体" w:cs="宋体"/>
          <w:color w:val="auto"/>
          <w:szCs w:val="21"/>
          <w:highlight w:val="none"/>
        </w:rPr>
        <w:t>。</w:t>
      </w:r>
    </w:p>
    <w:p>
      <w:pPr>
        <w:tabs>
          <w:tab w:val="left" w:pos="0"/>
        </w:tabs>
        <w:snapToGrid w:val="0"/>
        <w:spacing w:line="440" w:lineRule="exact"/>
        <w:ind w:firstLine="420" w:firstLineChars="200"/>
        <w:rPr>
          <w:rFonts w:hint="eastAsia" w:ascii="宋体" w:cs="宋体"/>
          <w:b/>
          <w:color w:val="auto"/>
          <w:szCs w:val="21"/>
          <w:highlight w:val="none"/>
          <w:u w:val="single"/>
        </w:rPr>
      </w:pPr>
      <w:r>
        <w:rPr>
          <w:rFonts w:hint="eastAsia" w:ascii="宋体" w:cs="宋体"/>
          <w:color w:val="auto"/>
          <w:szCs w:val="21"/>
          <w:highlight w:val="none"/>
        </w:rPr>
        <w:t>（2）发包人支付进度款的期限：发包人在发票送达一周内完成支付。</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发包人逾期支付进度款的违约金的计算方式：</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2" w:firstLineChars="200"/>
        <w:jc w:val="left"/>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rPr>
        <w:t>支付方式：</w:t>
      </w:r>
      <w:r>
        <w:rPr>
          <w:rFonts w:hint="eastAsia" w:ascii="宋体" w:hAnsi="宋体" w:cs="宋体"/>
          <w:b/>
          <w:bCs/>
          <w:color w:val="auto"/>
          <w:szCs w:val="21"/>
          <w:highlight w:val="none"/>
          <w:lang w:val="en-US" w:eastAsia="zh-CN"/>
        </w:rPr>
        <w:t>工程款按月支付，当月完成进度计划的合格分部分项工程按85%付进度款，工程结算经审核后付至审核结算价的98%，剩余2%作为工程质量保证金。工程质量保证金在工程缺陷责任期（缺陷责任期两年，从验收合格之日起计算）满后一个月内付清。（采用工程质量保证担保、工程质量保险等其他保证方式的，发包人不再预留质量保证金。）</w:t>
      </w:r>
    </w:p>
    <w:p>
      <w:pPr>
        <w:snapToGrid w:val="0"/>
        <w:spacing w:line="440" w:lineRule="exact"/>
        <w:ind w:firstLine="420" w:firstLineChars="200"/>
        <w:jc w:val="left"/>
        <w:rPr>
          <w:rFonts w:hint="eastAsia" w:ascii="宋体" w:cs="宋体"/>
          <w:color w:val="auto"/>
          <w:szCs w:val="21"/>
          <w:highlight w:val="none"/>
        </w:rPr>
      </w:pPr>
      <w:r>
        <w:rPr>
          <w:rFonts w:hint="eastAsia" w:ascii="宋体" w:hAnsi="宋体" w:cs="宋体"/>
          <w:color w:val="auto"/>
          <w:szCs w:val="21"/>
          <w:highlight w:val="none"/>
        </w:rPr>
        <w:t>（3）承包人必须与指定银行签订委托支付协议。总承包企业（专业承包企业）应及时确认劳务</w:t>
      </w:r>
      <w:r>
        <w:rPr>
          <w:rFonts w:hint="eastAsia" w:ascii="宋体" w:cs="宋体"/>
          <w:color w:val="auto"/>
          <w:szCs w:val="21"/>
          <w:highlight w:val="none"/>
        </w:rPr>
        <w:t>分包企业按月提供的农民工工资详单。保证在签订施工合同前严格按照“滁州市建设领域农民工工资管理暂行办法{滁人社发【2018】215 号文件}”和“关于进一步完善工程建设领域农民工工资保证金和农民工工资（劳务费）专户管理制度的实施意见”要求办理“农民工工资专用账户”手续。</w:t>
      </w:r>
    </w:p>
    <w:p>
      <w:pPr>
        <w:pStyle w:val="14"/>
        <w:spacing w:after="0" w:line="440" w:lineRule="exact"/>
        <w:ind w:left="0" w:leftChars="0"/>
        <w:rPr>
          <w:rFonts w:hint="eastAsia" w:hAnsi="宋体" w:cs="宋体"/>
          <w:bCs/>
          <w:color w:val="auto"/>
          <w:szCs w:val="21"/>
          <w:highlight w:val="none"/>
          <w:u w:val="single"/>
        </w:rPr>
      </w:pPr>
      <w:r>
        <w:rPr>
          <w:rFonts w:hint="eastAsia" w:hAnsi="宋体" w:cs="宋体"/>
          <w:bCs/>
          <w:color w:val="auto"/>
          <w:szCs w:val="21"/>
          <w:highlight w:val="none"/>
        </w:rPr>
        <w:t>开户名称：</w:t>
      </w:r>
      <w:r>
        <w:rPr>
          <w:rFonts w:hint="eastAsia" w:hAnsi="宋体" w:cs="宋体"/>
          <w:bCs/>
          <w:color w:val="auto"/>
          <w:szCs w:val="21"/>
          <w:highlight w:val="none"/>
          <w:u w:val="single"/>
        </w:rPr>
        <w:t xml:space="preserve">                              ；</w:t>
      </w:r>
    </w:p>
    <w:p>
      <w:pPr>
        <w:pStyle w:val="14"/>
        <w:spacing w:after="0" w:line="440" w:lineRule="exact"/>
        <w:ind w:left="0" w:leftChars="0"/>
        <w:rPr>
          <w:rFonts w:hint="eastAsia" w:hAnsi="宋体" w:cs="宋体"/>
          <w:bCs/>
          <w:color w:val="auto"/>
          <w:szCs w:val="21"/>
          <w:highlight w:val="none"/>
          <w:u w:val="single"/>
        </w:rPr>
      </w:pPr>
      <w:r>
        <w:rPr>
          <w:rFonts w:hint="eastAsia" w:hAnsi="宋体" w:cs="宋体"/>
          <w:bCs/>
          <w:color w:val="auto"/>
          <w:szCs w:val="21"/>
          <w:highlight w:val="none"/>
        </w:rPr>
        <w:t>开 户 行：</w:t>
      </w:r>
      <w:r>
        <w:rPr>
          <w:rFonts w:hint="eastAsia" w:hAnsi="宋体" w:cs="宋体"/>
          <w:bCs/>
          <w:color w:val="auto"/>
          <w:szCs w:val="21"/>
          <w:highlight w:val="none"/>
          <w:u w:val="single"/>
        </w:rPr>
        <w:t xml:space="preserve">                              ；</w:t>
      </w:r>
    </w:p>
    <w:p>
      <w:pPr>
        <w:snapToGrid w:val="0"/>
        <w:spacing w:line="440" w:lineRule="exact"/>
        <w:ind w:firstLine="420" w:firstLineChars="200"/>
        <w:rPr>
          <w:rFonts w:hint="eastAsia" w:ascii="宋体" w:cs="宋体"/>
          <w:color w:val="auto"/>
          <w:szCs w:val="21"/>
          <w:highlight w:val="none"/>
        </w:rPr>
      </w:pPr>
      <w:r>
        <w:rPr>
          <w:rFonts w:hint="eastAsia" w:hAnsi="宋体" w:cs="宋体"/>
          <w:bCs/>
          <w:color w:val="auto"/>
          <w:szCs w:val="21"/>
          <w:highlight w:val="none"/>
        </w:rPr>
        <w:t>账    号：</w:t>
      </w:r>
      <w:r>
        <w:rPr>
          <w:rFonts w:hint="eastAsia" w:hAnsi="宋体" w:cs="宋体"/>
          <w:bCs/>
          <w:color w:val="auto"/>
          <w:szCs w:val="21"/>
          <w:highlight w:val="none"/>
          <w:u w:val="single"/>
        </w:rPr>
        <w:t xml:space="preserve">                              ；</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12.4.6 支付分解表的编制</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2、总价合同支付分解表的编制与审批：</w:t>
      </w:r>
      <w:r>
        <w:rPr>
          <w:rFonts w:hint="eastAsia" w:ascii="宋体" w:cs="宋体"/>
          <w:color w:val="auto"/>
          <w:szCs w:val="21"/>
          <w:highlight w:val="none"/>
          <w:u w:val="single"/>
        </w:rPr>
        <w:t xml:space="preserve">   不采用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3、单价合同的总价项目支付分解表的编制与审批：</w:t>
      </w:r>
      <w:r>
        <w:rPr>
          <w:rFonts w:hint="eastAsia" w:ascii="宋体" w:cs="宋体"/>
          <w:color w:val="auto"/>
          <w:szCs w:val="21"/>
          <w:highlight w:val="none"/>
          <w:u w:val="single"/>
        </w:rPr>
        <w:t>执行发包人统一内容格式。</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13. 验收和工程试车</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13.1 分部分项工程验收</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13.1.2监理人不能按时进行验收时，应提前</w:t>
      </w:r>
      <w:r>
        <w:rPr>
          <w:rFonts w:hint="eastAsia" w:ascii="宋体" w:cs="宋体"/>
          <w:color w:val="auto"/>
          <w:szCs w:val="21"/>
          <w:highlight w:val="none"/>
          <w:u w:val="single"/>
        </w:rPr>
        <w:t xml:space="preserve">  3  </w:t>
      </w:r>
      <w:r>
        <w:rPr>
          <w:rFonts w:hint="eastAsia" w:ascii="宋体" w:cs="宋体"/>
          <w:color w:val="auto"/>
          <w:szCs w:val="21"/>
          <w:highlight w:val="none"/>
        </w:rPr>
        <w:t>小时提交书面延期要求。</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关于延期最长不得超过：</w:t>
      </w:r>
      <w:r>
        <w:rPr>
          <w:rFonts w:hint="eastAsia" w:ascii="宋体" w:cs="宋体"/>
          <w:color w:val="auto"/>
          <w:szCs w:val="21"/>
          <w:highlight w:val="none"/>
          <w:u w:val="single"/>
        </w:rPr>
        <w:t xml:space="preserve"> 6  </w:t>
      </w:r>
      <w:r>
        <w:rPr>
          <w:rFonts w:hint="eastAsia" w:ascii="宋体" w:cs="宋体"/>
          <w:color w:val="auto"/>
          <w:szCs w:val="21"/>
          <w:highlight w:val="none"/>
        </w:rPr>
        <w:t>小时。</w:t>
      </w:r>
    </w:p>
    <w:p>
      <w:pPr>
        <w:wordWrap w:val="0"/>
        <w:snapToGrid w:val="0"/>
        <w:spacing w:line="440" w:lineRule="exact"/>
        <w:ind w:firstLine="420" w:firstLineChars="200"/>
        <w:textAlignment w:val="bottom"/>
        <w:rPr>
          <w:rFonts w:hint="eastAsia" w:ascii="宋体" w:cs="宋体"/>
          <w:color w:val="auto"/>
          <w:szCs w:val="21"/>
          <w:highlight w:val="none"/>
        </w:rPr>
      </w:pPr>
      <w:r>
        <w:rPr>
          <w:rFonts w:hint="eastAsia" w:ascii="宋体" w:cs="宋体"/>
          <w:color w:val="auto"/>
          <w:szCs w:val="21"/>
          <w:highlight w:val="none"/>
        </w:rPr>
        <w:t>13.2 竣工验收</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13.2.2竣工验收程序</w:t>
      </w:r>
    </w:p>
    <w:p>
      <w:pPr>
        <w:wordWrap w:val="0"/>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关于竣工验收程序的约定：</w:t>
      </w:r>
      <w:r>
        <w:rPr>
          <w:rFonts w:hint="eastAsia" w:ascii="宋体" w:hAnsi="宋体" w:cs="宋体"/>
          <w:color w:val="auto"/>
          <w:szCs w:val="21"/>
          <w:highlight w:val="none"/>
          <w:u w:val="single"/>
        </w:rPr>
        <w:t>执行通用条款</w:t>
      </w:r>
      <w:r>
        <w:rPr>
          <w:rFonts w:ascii="宋体" w:hAnsi="宋体" w:cs="宋体"/>
          <w:color w:val="auto"/>
          <w:szCs w:val="21"/>
          <w:highlight w:val="none"/>
          <w:u w:val="single"/>
        </w:rPr>
        <w:t xml:space="preserve">  </w:t>
      </w:r>
      <w:r>
        <w:rPr>
          <w:rFonts w:hint="eastAsia" w:ascii="宋体" w:cs="宋体"/>
          <w:color w:val="auto"/>
          <w:szCs w:val="21"/>
          <w:highlight w:val="none"/>
          <w:u w:val="single"/>
        </w:rPr>
        <w:t>。</w:t>
      </w:r>
    </w:p>
    <w:p>
      <w:pPr>
        <w:wordWrap w:val="0"/>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发包人不按照本项约定组织竣工验收、颁发工程接收证书的违约金的计算方法：</w:t>
      </w:r>
      <w:r>
        <w:rPr>
          <w:rFonts w:hint="eastAsia" w:ascii="宋体" w:cs="宋体"/>
          <w:color w:val="auto"/>
          <w:szCs w:val="21"/>
          <w:highlight w:val="none"/>
          <w:u w:val="single"/>
        </w:rPr>
        <w:t xml:space="preserve">  不考虑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13.2.5移交、接收全部与部分工程</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承包人向发包人移交工程的期限：</w:t>
      </w:r>
      <w:r>
        <w:rPr>
          <w:rFonts w:hint="eastAsia" w:ascii="宋体" w:cs="宋体"/>
          <w:color w:val="auto"/>
          <w:szCs w:val="21"/>
          <w:highlight w:val="none"/>
          <w:u w:val="single"/>
        </w:rPr>
        <w:t xml:space="preserve"> 承包人应当无条件配合发包人在30日内将工程移交给管养单位。</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发包人未按本合同约定接收全部或部分工程的，违约金的计算方法为：</w:t>
      </w:r>
      <w:r>
        <w:rPr>
          <w:rFonts w:hint="eastAsia" w:ascii="宋体" w:cs="宋体"/>
          <w:color w:val="auto"/>
          <w:szCs w:val="21"/>
          <w:highlight w:val="none"/>
          <w:u w:val="single"/>
        </w:rPr>
        <w:t xml:space="preserve">  不考虑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承包人未按时移交工程的，违约金的计算方法为：</w:t>
      </w:r>
      <w:r>
        <w:rPr>
          <w:rFonts w:hint="eastAsia" w:ascii="宋体" w:cs="宋体"/>
          <w:color w:val="auto"/>
          <w:szCs w:val="21"/>
          <w:highlight w:val="none"/>
          <w:u w:val="single"/>
        </w:rPr>
        <w:t xml:space="preserve"> 因承包人原因，未按合同期限按时移交的，暂停工程款支付，发包人可动用质保金，用于工程质量整改，同时限制承包人一年内不得参与我单位项目投标  </w:t>
      </w:r>
      <w:r>
        <w:rPr>
          <w:rFonts w:hint="eastAsia" w:ascii="宋体" w:cs="宋体"/>
          <w:color w:val="auto"/>
          <w:szCs w:val="21"/>
          <w:highlight w:val="none"/>
        </w:rPr>
        <w:t>。</w:t>
      </w:r>
    </w:p>
    <w:p>
      <w:pPr>
        <w:snapToGrid w:val="0"/>
        <w:spacing w:line="440" w:lineRule="exact"/>
        <w:ind w:firstLine="420" w:firstLineChars="200"/>
        <w:rPr>
          <w:rFonts w:hint="eastAsia" w:ascii="宋体" w:cs="宋体"/>
          <w:color w:val="auto"/>
          <w:szCs w:val="21"/>
          <w:highlight w:val="none"/>
        </w:rPr>
      </w:pP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13.3 工程试车</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13.3.1 试车程序</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工程试车内容：</w:t>
      </w:r>
      <w:r>
        <w:rPr>
          <w:rFonts w:hint="eastAsia" w:ascii="宋体" w:cs="宋体"/>
          <w:color w:val="auto"/>
          <w:szCs w:val="21"/>
          <w:highlight w:val="none"/>
          <w:u w:val="single"/>
        </w:rPr>
        <w:t>工程需要试车的，试车内容应与承包人承包范围相一致，试车费用由承包人承担。</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（1）单机无负荷试车费用由</w:t>
      </w:r>
      <w:r>
        <w:rPr>
          <w:rFonts w:hint="eastAsia" w:ascii="宋体" w:cs="宋体"/>
          <w:color w:val="auto"/>
          <w:szCs w:val="21"/>
          <w:highlight w:val="none"/>
          <w:u w:val="single"/>
        </w:rPr>
        <w:t xml:space="preserve">  承包人  </w:t>
      </w:r>
      <w:r>
        <w:rPr>
          <w:rFonts w:hint="eastAsia" w:ascii="宋体" w:cs="宋体"/>
          <w:color w:val="auto"/>
          <w:kern w:val="0"/>
          <w:szCs w:val="21"/>
          <w:highlight w:val="none"/>
        </w:rPr>
        <w:t>承担；</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（2）无负荷联动试车费用由</w:t>
      </w:r>
      <w:r>
        <w:rPr>
          <w:rFonts w:hint="eastAsia" w:ascii="宋体" w:cs="宋体"/>
          <w:color w:val="auto"/>
          <w:szCs w:val="21"/>
          <w:highlight w:val="none"/>
          <w:u w:val="single"/>
        </w:rPr>
        <w:t xml:space="preserve">  承包人  </w:t>
      </w:r>
      <w:r>
        <w:rPr>
          <w:rFonts w:hint="eastAsia" w:ascii="宋体" w:cs="宋体"/>
          <w:color w:val="auto"/>
          <w:kern w:val="0"/>
          <w:szCs w:val="21"/>
          <w:highlight w:val="none"/>
        </w:rPr>
        <w:t>承担。</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13.3.3 投料试车</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kern w:val="0"/>
          <w:szCs w:val="21"/>
          <w:highlight w:val="none"/>
        </w:rPr>
        <w:t>关于投料试车相关事项的约定：</w:t>
      </w:r>
      <w:r>
        <w:rPr>
          <w:rFonts w:hint="eastAsia" w:ascii="宋体" w:cs="宋体"/>
          <w:color w:val="auto"/>
          <w:kern w:val="0"/>
          <w:szCs w:val="21"/>
          <w:highlight w:val="none"/>
          <w:u w:val="single"/>
        </w:rPr>
        <w:t>如需进行投料试车的，发包人应在工程竣工验收后组织投料试车。发包人要求在工程竣工验收前进行或需要承包人配合时，应征得承包人同意。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13.6 竣工退场</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13.6.1 竣工退场</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承包人完成竣工退场的期限：</w:t>
      </w:r>
      <w:r>
        <w:rPr>
          <w:rFonts w:hint="eastAsia" w:ascii="宋体" w:cs="宋体"/>
          <w:color w:val="auto"/>
          <w:szCs w:val="21"/>
          <w:highlight w:val="none"/>
          <w:u w:val="single"/>
        </w:rPr>
        <w:t>工程竣工合格后，7天内退场。</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14. 竣工结算</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14.1 竣工付款申请</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承包人提交竣工付款申请单的期限：</w:t>
      </w:r>
      <w:r>
        <w:rPr>
          <w:rFonts w:hint="eastAsia" w:ascii="宋体" w:cs="宋体"/>
          <w:color w:val="auto"/>
          <w:szCs w:val="21"/>
          <w:highlight w:val="none"/>
          <w:u w:val="single"/>
        </w:rPr>
        <w:t>承包人须于竣工验收合格后60日内完成竣工结算报告和完整结算资料上报，特殊情况，经分管领导批准的可以延长。凡因承包人原因，未能在规定时间内上报竣工结算的，处</w:t>
      </w:r>
      <w:r>
        <w:rPr>
          <w:rFonts w:hint="eastAsia" w:ascii="宋体" w:cs="宋体"/>
          <w:color w:val="auto"/>
          <w:szCs w:val="21"/>
          <w:highlight w:val="none"/>
          <w:u w:val="single"/>
          <w:lang w:val="en-US" w:eastAsia="zh-CN"/>
        </w:rPr>
        <w:t>以</w:t>
      </w:r>
      <w:r>
        <w:rPr>
          <w:rFonts w:hint="eastAsia" w:ascii="宋体" w:cs="宋体"/>
          <w:color w:val="auto"/>
          <w:szCs w:val="21"/>
          <w:highlight w:val="none"/>
          <w:u w:val="single"/>
        </w:rPr>
        <w:t>10000元/月的违约金。情节严重的，项目单位有权按已有资料或按已付款报相关部门办理结算。</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竣工结算申请单应包括的内容：</w:t>
      </w:r>
      <w:r>
        <w:rPr>
          <w:rFonts w:hint="eastAsia" w:ascii="宋体" w:cs="宋体"/>
          <w:color w:val="auto"/>
          <w:szCs w:val="21"/>
          <w:highlight w:val="none"/>
          <w:u w:val="single"/>
        </w:rPr>
        <w:t>执行发包人统一内容格式。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14.2 竣工结算审核</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发包人审批竣工付款申请单的期限：</w:t>
      </w:r>
      <w:r>
        <w:rPr>
          <w:rFonts w:hint="eastAsia" w:ascii="宋体" w:cs="宋体"/>
          <w:color w:val="auto"/>
          <w:szCs w:val="21"/>
          <w:highlight w:val="none"/>
          <w:u w:val="single"/>
        </w:rPr>
        <w:t>相关部门审核通过后7天内完成审批并签发结算款支付证书</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发包人完成竣工付款的期限：</w:t>
      </w:r>
      <w:r>
        <w:rPr>
          <w:rFonts w:hint="eastAsia" w:ascii="宋体" w:cs="宋体"/>
          <w:color w:val="auto"/>
          <w:szCs w:val="21"/>
          <w:highlight w:val="none"/>
          <w:u w:val="single"/>
        </w:rPr>
        <w:t xml:space="preserve">发包人在发票送达一周内完成支付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关于竣工付款证书异议部分复核的方式和程序：</w:t>
      </w:r>
      <w:r>
        <w:rPr>
          <w:rFonts w:hint="eastAsia" w:ascii="宋体" w:cs="宋体"/>
          <w:color w:val="auto"/>
          <w:szCs w:val="21"/>
          <w:highlight w:val="none"/>
          <w:u w:val="single"/>
        </w:rPr>
        <w:t>按照第20条〔争议解决〕约定处理。</w:t>
      </w:r>
    </w:p>
    <w:p>
      <w:pPr>
        <w:snapToGrid w:val="0"/>
        <w:spacing w:beforeLines="0" w:afterLines="0" w:line="440" w:lineRule="exact"/>
        <w:ind w:firstLine="422" w:firstLineChars="200"/>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根据滁规建管办字【2023】3号文件《关于规范建设项目工程造价控制与审核费用的通知》的规定，工程造价审减率超过5%时，施工单位承担审减率超出5%以上的核减额的5%，项目结算付款单位根据审计结果从工程待结价款中扣除或以违约金形式缴纳至招标人处。</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14.4 最终结清</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14.4.1 最终结清申请单</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承包人提交最终结清申请单的份数：</w:t>
      </w:r>
      <w:r>
        <w:rPr>
          <w:rFonts w:hint="eastAsia" w:ascii="宋体" w:cs="宋体"/>
          <w:color w:val="auto"/>
          <w:szCs w:val="21"/>
          <w:highlight w:val="none"/>
          <w:u w:val="single"/>
        </w:rPr>
        <w:t xml:space="preserve"> 4份  </w:t>
      </w:r>
      <w:r>
        <w:rPr>
          <w:rFonts w:hint="eastAsia" w:ascii="宋体" w:cs="宋体"/>
          <w:color w:val="auto"/>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kern w:val="0"/>
          <w:szCs w:val="21"/>
          <w:highlight w:val="none"/>
        </w:rPr>
        <w:t>承包人提交最终结算申请单的期限：</w:t>
      </w:r>
      <w:r>
        <w:rPr>
          <w:rFonts w:hint="eastAsia" w:ascii="宋体" w:cs="宋体"/>
          <w:color w:val="auto"/>
          <w:szCs w:val="21"/>
          <w:highlight w:val="none"/>
          <w:u w:val="single"/>
        </w:rPr>
        <w:t xml:space="preserve"> 缺陷责任期满经复查合格后7天内。</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14.4.2 最终结清证书和支付</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（1）发包人完成最终结清申请单的审批并颁发最终结清证书的期限：</w:t>
      </w:r>
      <w:r>
        <w:rPr>
          <w:rFonts w:hint="eastAsia" w:ascii="宋体" w:cs="宋体"/>
          <w:color w:val="auto"/>
          <w:szCs w:val="21"/>
          <w:highlight w:val="none"/>
          <w:u w:val="single"/>
        </w:rPr>
        <w:t xml:space="preserve"> 缺陷责任期满经复查合格后14天内。</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（2）发包人完成支付的期限：</w:t>
      </w:r>
      <w:r>
        <w:rPr>
          <w:rFonts w:hint="eastAsia" w:ascii="宋体" w:cs="宋体"/>
          <w:color w:val="auto"/>
          <w:szCs w:val="21"/>
          <w:highlight w:val="none"/>
          <w:u w:val="single"/>
        </w:rPr>
        <w:t xml:space="preserve">发包人发票送达一周内完成支付 </w:t>
      </w:r>
      <w:r>
        <w:rPr>
          <w:rFonts w:hint="eastAsia" w:ascii="宋体" w:cs="宋体"/>
          <w:color w:val="auto"/>
          <w:szCs w:val="21"/>
          <w:highlight w:val="none"/>
        </w:rPr>
        <w:t>。</w:t>
      </w:r>
      <w:r>
        <w:rPr>
          <w:rFonts w:hint="eastAsia" w:ascii="宋体" w:cs="宋体"/>
          <w:color w:val="auto"/>
          <w:szCs w:val="21"/>
          <w:highlight w:val="none"/>
          <w:u w:val="single"/>
        </w:rPr>
        <w:t xml:space="preserve"> </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15. 缺陷责任期与保修</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15.2缺陷责任期</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缺陷责任期的具体期限：</w:t>
      </w:r>
      <w:r>
        <w:rPr>
          <w:rFonts w:hint="eastAsia" w:ascii="黑体" w:hAnsi="黑体" w:eastAsia="黑体" w:cs="黑体"/>
          <w:b/>
          <w:bCs/>
          <w:color w:val="auto"/>
          <w:szCs w:val="21"/>
          <w:highlight w:val="none"/>
          <w:u w:val="single"/>
        </w:rPr>
        <w:t>自竣工验收合格之日起24个月（详见付款方式）</w:t>
      </w:r>
      <w:r>
        <w:rPr>
          <w:rFonts w:hint="eastAsia" w:ascii="宋体" w:cs="宋体"/>
          <w:color w:val="auto"/>
          <w:szCs w:val="21"/>
          <w:highlight w:val="none"/>
          <w:u w:val="single"/>
        </w:rPr>
        <w:t>。</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15.3 质量保证金</w:t>
      </w:r>
    </w:p>
    <w:p>
      <w:pPr>
        <w:snapToGrid w:val="0"/>
        <w:spacing w:line="44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关于是否扣留质量保证金的约定：</w:t>
      </w:r>
      <w:r>
        <w:rPr>
          <w:rFonts w:hint="eastAsia" w:ascii="宋体" w:cs="宋体"/>
          <w:color w:val="auto"/>
          <w:szCs w:val="21"/>
          <w:highlight w:val="none"/>
          <w:u w:val="single"/>
        </w:rPr>
        <w:t xml:space="preserve"> 是。   </w:t>
      </w:r>
    </w:p>
    <w:p>
      <w:pPr>
        <w:snapToGrid w:val="0"/>
        <w:spacing w:line="44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rPr>
        <w:t>在工程项目竣工前，承包人按专用合同条款第3.7条提供履约担保的，发包人不得同时预留工程质量保证金。</w:t>
      </w:r>
    </w:p>
    <w:p>
      <w:pPr>
        <w:snapToGrid w:val="0"/>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质量保证金采用以下第</w:t>
      </w:r>
      <w:r>
        <w:rPr>
          <w:rFonts w:hint="eastAsia" w:ascii="宋体" w:cs="宋体"/>
          <w:color w:val="auto"/>
          <w:szCs w:val="21"/>
          <w:highlight w:val="none"/>
          <w:u w:val="single"/>
        </w:rPr>
        <w:t xml:space="preserve">  2  </w:t>
      </w:r>
      <w:r>
        <w:rPr>
          <w:rFonts w:hint="eastAsia" w:ascii="宋体" w:cs="宋体"/>
          <w:color w:val="auto"/>
          <w:szCs w:val="21"/>
          <w:highlight w:val="none"/>
        </w:rPr>
        <w:t>种方式：</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（1）质量保证金保函，保证金额为：</w:t>
      </w:r>
      <w:r>
        <w:rPr>
          <w:rFonts w:hint="eastAsia" w:ascii="宋体" w:cs="宋体"/>
          <w:color w:val="auto"/>
          <w:kern w:val="0"/>
          <w:szCs w:val="21"/>
          <w:highlight w:val="none"/>
          <w:u w:val="single"/>
        </w:rPr>
        <w:t xml:space="preserve">  不采用   </w:t>
      </w:r>
      <w:r>
        <w:rPr>
          <w:rFonts w:hint="eastAsia" w:ascii="宋体" w:cs="宋体"/>
          <w:color w:val="auto"/>
          <w:kern w:val="0"/>
          <w:szCs w:val="21"/>
          <w:highlight w:val="none"/>
        </w:rPr>
        <w:t xml:space="preserve">； </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u w:val="single"/>
          <w:lang w:val="en-US" w:eastAsia="zh-CN"/>
        </w:rPr>
        <w:t>2</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rPr>
        <w:t>的工程款；</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（3）其他方式:</w:t>
      </w:r>
      <w:r>
        <w:rPr>
          <w:rFonts w:hint="eastAsia" w:ascii="宋体" w:cs="宋体"/>
          <w:color w:val="auto"/>
          <w:kern w:val="0"/>
          <w:szCs w:val="21"/>
          <w:highlight w:val="none"/>
          <w:u w:val="single"/>
        </w:rPr>
        <w:t xml:space="preserve">        。</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 xml:space="preserve">15.3.2 质量保证金的扣留 </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质量保证金的扣留采取以下第</w:t>
      </w:r>
      <w:r>
        <w:rPr>
          <w:rFonts w:hint="eastAsia" w:ascii="宋体" w:cs="宋体"/>
          <w:color w:val="auto"/>
          <w:szCs w:val="21"/>
          <w:highlight w:val="none"/>
          <w:u w:val="single"/>
        </w:rPr>
        <w:t xml:space="preserve">  (2)   </w:t>
      </w:r>
      <w:r>
        <w:rPr>
          <w:rFonts w:hint="eastAsia" w:ascii="宋体" w:cs="宋体"/>
          <w:color w:val="auto"/>
          <w:szCs w:val="21"/>
          <w:highlight w:val="none"/>
        </w:rPr>
        <w:t>种方式：</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（1）在支付工程进度款时逐次扣留，在此情形下，质量保证金的计算基数不包括预付款的支付、扣回以及价格调整的金额；</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（2）工程竣工结算时一次性扣留质量保证金；</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（3）其他扣留方式:</w:t>
      </w:r>
      <w:r>
        <w:rPr>
          <w:rFonts w:hint="eastAsia" w:ascii="宋体" w:cs="宋体"/>
          <w:color w:val="auto"/>
          <w:kern w:val="0"/>
          <w:szCs w:val="21"/>
          <w:highlight w:val="none"/>
          <w:u w:val="single"/>
        </w:rPr>
        <w:t xml:space="preserve">   不采用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eastAsia="宋体" w:cs="宋体"/>
          <w:color w:val="auto"/>
          <w:kern w:val="0"/>
          <w:szCs w:val="21"/>
          <w:highlight w:val="none"/>
          <w:u w:val="single"/>
          <w:lang w:eastAsia="zh-CN"/>
        </w:rPr>
      </w:pPr>
      <w:r>
        <w:rPr>
          <w:rFonts w:hint="eastAsia" w:ascii="宋体" w:cs="宋体"/>
          <w:color w:val="auto"/>
          <w:szCs w:val="21"/>
          <w:highlight w:val="none"/>
        </w:rPr>
        <w:t>关于质量保证金的补充约定：</w:t>
      </w:r>
      <w:r>
        <w:rPr>
          <w:rFonts w:hint="eastAsia" w:ascii="宋体" w:cs="宋体"/>
          <w:color w:val="auto"/>
          <w:kern w:val="0"/>
          <w:szCs w:val="21"/>
          <w:highlight w:val="none"/>
          <w:u w:val="single"/>
        </w:rPr>
        <w:t xml:space="preserve"> </w:t>
      </w:r>
      <w:r>
        <w:rPr>
          <w:rFonts w:hint="eastAsia" w:ascii="宋体" w:cs="宋体"/>
          <w:color w:val="auto"/>
          <w:szCs w:val="21"/>
          <w:highlight w:val="none"/>
          <w:u w:val="single"/>
        </w:rPr>
        <w:t>承包人在缺陷责任期内未履行保修义务的，缺陷责任期满经复查不合格的，质量保证金不予退还。</w:t>
      </w:r>
      <w:r>
        <w:rPr>
          <w:rFonts w:hint="eastAsia" w:ascii="宋体" w:cs="宋体"/>
          <w:color w:val="auto"/>
          <w:kern w:val="0"/>
          <w:szCs w:val="21"/>
          <w:highlight w:val="none"/>
          <w:u w:val="single"/>
        </w:rPr>
        <w:t>质量缺陷较多，多次催促整改不到位，处理不及时的，</w:t>
      </w:r>
      <w:r>
        <w:rPr>
          <w:rFonts w:hint="eastAsia" w:ascii="宋体" w:cs="宋体"/>
          <w:color w:val="auto"/>
          <w:szCs w:val="21"/>
          <w:highlight w:val="none"/>
          <w:u w:val="single"/>
        </w:rPr>
        <w:t>发包人可动用质保金，用于工程质量整改，同时限制承包人一年内不得参与我单位项目投标。</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15.4保修</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15.4.1 保修责任</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szCs w:val="21"/>
          <w:highlight w:val="none"/>
        </w:rPr>
        <w:t>工程保修期为：</w:t>
      </w:r>
      <w:r>
        <w:rPr>
          <w:rFonts w:hint="eastAsia" w:ascii="宋体" w:cs="宋体"/>
          <w:color w:val="auto"/>
          <w:kern w:val="0"/>
          <w:szCs w:val="21"/>
          <w:highlight w:val="none"/>
          <w:u w:val="single"/>
        </w:rPr>
        <w:t xml:space="preserve">   执行《建设工程质量管理条例》及有关规定。     </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承包人收到保修通知并到达工程现场的合理时间：</w:t>
      </w:r>
      <w:r>
        <w:rPr>
          <w:rFonts w:hint="eastAsia" w:ascii="宋体" w:cs="宋体"/>
          <w:color w:val="auto"/>
          <w:kern w:val="0"/>
          <w:szCs w:val="21"/>
          <w:highlight w:val="none"/>
          <w:u w:val="single"/>
        </w:rPr>
        <w:t xml:space="preserve">自承包人收到保修通知起24小时内到达工程现场。  </w:t>
      </w:r>
    </w:p>
    <w:p>
      <w:pPr>
        <w:pStyle w:val="5"/>
        <w:snapToGrid w:val="0"/>
        <w:spacing w:before="0" w:after="0" w:line="44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16. 违约</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16.1 发包人违约</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16.1.1发包人违约的情形</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发包人违约的其他情形：</w:t>
      </w:r>
      <w:r>
        <w:rPr>
          <w:rFonts w:hint="eastAsia" w:ascii="宋体" w:cs="宋体"/>
          <w:color w:val="auto"/>
          <w:kern w:val="0"/>
          <w:szCs w:val="21"/>
          <w:highlight w:val="none"/>
          <w:u w:val="single"/>
        </w:rPr>
        <w:t xml:space="preserve">   无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16.1.2 发包人违约的责任</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发包人违约责任的承担方式和计算方法：</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（1）因发包人原因未能在计划开工日期前7天内下达开工通知的违约责任：</w:t>
      </w:r>
      <w:r>
        <w:rPr>
          <w:rFonts w:hint="eastAsia" w:ascii="宋体" w:cs="宋体"/>
          <w:color w:val="auto"/>
          <w:kern w:val="0"/>
          <w:szCs w:val="21"/>
          <w:highlight w:val="none"/>
          <w:u w:val="single"/>
        </w:rPr>
        <w:t>对工期造成影响的可顺延工期</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（2）因发包人原因未能按合同约定支付合同价款的违约责任：</w:t>
      </w:r>
      <w:r>
        <w:rPr>
          <w:rFonts w:hint="eastAsia" w:ascii="宋体" w:cs="宋体"/>
          <w:color w:val="auto"/>
          <w:kern w:val="0"/>
          <w:szCs w:val="21"/>
          <w:highlight w:val="none"/>
          <w:u w:val="single"/>
        </w:rPr>
        <w:t>可按照中国人民银行发布的同期同类贷款基准利率支付违约金</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（3）发包人违反第10.1款〔变更的范围〕第（2）项约定，自行实施被取消的工作或转由他人实施的违约责任：</w:t>
      </w:r>
      <w:r>
        <w:rPr>
          <w:rFonts w:hint="eastAsia" w:ascii="宋体" w:cs="宋体"/>
          <w:color w:val="auto"/>
          <w:kern w:val="0"/>
          <w:szCs w:val="21"/>
          <w:highlight w:val="none"/>
          <w:u w:val="single"/>
        </w:rPr>
        <w:t xml:space="preserve">   发包人可追加与被取消的工作造价相当的额外工作做为补偿</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宋体" w:cs="宋体"/>
          <w:color w:val="auto"/>
          <w:kern w:val="0"/>
          <w:szCs w:val="21"/>
          <w:highlight w:val="none"/>
          <w:u w:val="single"/>
        </w:rPr>
        <w:t xml:space="preserve">发包人可补足或更换材料、工程设备；对工期造成延误的可以顺延；增加承包人成本的可予以补偿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（5）因发包人违反合同约定造成暂停施工的违约责任：</w:t>
      </w:r>
      <w:r>
        <w:rPr>
          <w:rFonts w:hint="eastAsia" w:ascii="宋体" w:cs="宋体"/>
          <w:color w:val="auto"/>
          <w:kern w:val="0"/>
          <w:szCs w:val="21"/>
          <w:highlight w:val="none"/>
          <w:u w:val="single"/>
        </w:rPr>
        <w:t xml:space="preserve">  可顺延工期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（6）发包人无正当理由没有在约定期限内发出复工指示，导致承包人无法复工的违约责任：</w:t>
      </w:r>
      <w:r>
        <w:rPr>
          <w:rFonts w:hint="eastAsia" w:ascii="宋体" w:cs="宋体"/>
          <w:color w:val="auto"/>
          <w:kern w:val="0"/>
          <w:szCs w:val="21"/>
          <w:highlight w:val="none"/>
          <w:u w:val="single"/>
        </w:rPr>
        <w:t xml:space="preserve"> 对工期造成影响的可顺延工期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（7）其他：</w:t>
      </w:r>
      <w:r>
        <w:rPr>
          <w:rFonts w:hint="eastAsia" w:ascii="宋体" w:cs="宋体"/>
          <w:color w:val="auto"/>
          <w:kern w:val="0"/>
          <w:szCs w:val="21"/>
          <w:highlight w:val="none"/>
          <w:u w:val="single"/>
        </w:rPr>
        <w:t xml:space="preserve">  无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16.1.3 因发包人违约解除合同</w:t>
      </w:r>
    </w:p>
    <w:p>
      <w:pPr>
        <w:autoSpaceDE w:val="0"/>
        <w:autoSpaceDN w:val="0"/>
        <w:adjustRightInd w:val="0"/>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承包人按16.1.1项〔发包人违约的情形〕约定暂停施工满</w:t>
      </w:r>
      <w:r>
        <w:rPr>
          <w:rFonts w:hint="eastAsia" w:ascii="宋体" w:cs="宋体"/>
          <w:color w:val="auto"/>
          <w:kern w:val="0"/>
          <w:szCs w:val="21"/>
          <w:highlight w:val="none"/>
          <w:u w:val="single"/>
        </w:rPr>
        <w:t xml:space="preserve">  28  </w:t>
      </w:r>
      <w:r>
        <w:rPr>
          <w:rFonts w:hint="eastAsia" w:ascii="宋体" w:cs="宋体"/>
          <w:color w:val="auto"/>
          <w:kern w:val="0"/>
          <w:szCs w:val="21"/>
          <w:highlight w:val="none"/>
        </w:rPr>
        <w:t>天后发包人仍不纠正其违约行为并致使合同目的不能实现的，承包人有权解除合同。</w:t>
      </w:r>
    </w:p>
    <w:p>
      <w:pPr>
        <w:snapToGrid w:val="0"/>
        <w:spacing w:line="440" w:lineRule="exact"/>
        <w:ind w:firstLine="420" w:firstLineChars="200"/>
        <w:rPr>
          <w:rFonts w:hint="eastAsia" w:ascii="宋体" w:cs="宋体"/>
          <w:color w:val="auto"/>
          <w:szCs w:val="21"/>
          <w:highlight w:val="none"/>
        </w:rPr>
      </w:pPr>
      <w:r>
        <w:rPr>
          <w:rFonts w:hint="eastAsia" w:ascii="宋体" w:cs="宋体"/>
          <w:color w:val="auto"/>
          <w:szCs w:val="21"/>
          <w:highlight w:val="none"/>
        </w:rPr>
        <w:t>16.2 承包人违约</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16.2.1 承包人违约的情形</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承包人违约的其他情形：</w:t>
      </w:r>
      <w:r>
        <w:rPr>
          <w:rFonts w:hint="eastAsia" w:ascii="宋体" w:cs="宋体"/>
          <w:color w:val="auto"/>
          <w:kern w:val="0"/>
          <w:szCs w:val="21"/>
          <w:highlight w:val="none"/>
          <w:u w:val="single"/>
        </w:rPr>
        <w:t xml:space="preserve">   执行补充条款   </w:t>
      </w:r>
      <w:r>
        <w:rPr>
          <w:rFonts w:hint="eastAsia" w:ascii="宋体" w:cs="宋体"/>
          <w:color w:val="auto"/>
          <w:kern w:val="0"/>
          <w:szCs w:val="21"/>
          <w:highlight w:val="none"/>
        </w:rPr>
        <w:t>。</w:t>
      </w:r>
    </w:p>
    <w:p>
      <w:pPr>
        <w:snapToGrid w:val="0"/>
        <w:spacing w:line="44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16.2.2承包人违约的责任</w:t>
      </w:r>
    </w:p>
    <w:p>
      <w:pPr>
        <w:snapToGrid w:val="0"/>
        <w:spacing w:line="44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承包人违约责任的承担方式和计算方法：</w:t>
      </w:r>
      <w:r>
        <w:rPr>
          <w:rFonts w:hint="eastAsia" w:ascii="宋体" w:cs="宋体"/>
          <w:color w:val="auto"/>
          <w:kern w:val="0"/>
          <w:szCs w:val="21"/>
          <w:highlight w:val="none"/>
          <w:u w:val="single"/>
        </w:rPr>
        <w:t xml:space="preserve"> 执行补充条款   </w:t>
      </w:r>
      <w:r>
        <w:rPr>
          <w:rFonts w:hint="eastAsia" w:ascii="宋体" w:cs="宋体"/>
          <w:color w:val="auto"/>
          <w:kern w:val="0"/>
          <w:szCs w:val="21"/>
          <w:highlight w:val="none"/>
        </w:rPr>
        <w:t>。</w:t>
      </w:r>
      <w:r>
        <w:rPr>
          <w:rFonts w:hint="eastAsia" w:ascii="宋体" w:cs="宋体"/>
          <w:color w:val="auto"/>
          <w:szCs w:val="21"/>
          <w:highlight w:val="none"/>
        </w:rPr>
        <w:t xml:space="preserve">    </w:t>
      </w:r>
    </w:p>
    <w:p>
      <w:pPr>
        <w:snapToGrid w:val="0"/>
        <w:spacing w:line="44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16.2.3 因承包人违约解除合同</w:t>
      </w:r>
    </w:p>
    <w:p>
      <w:pPr>
        <w:snapToGrid w:val="0"/>
        <w:spacing w:line="44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关于承包人违约解除合同的特别约定：</w:t>
      </w:r>
      <w:r>
        <w:rPr>
          <w:rFonts w:hint="eastAsia" w:ascii="宋体" w:cs="宋体"/>
          <w:color w:val="auto"/>
          <w:kern w:val="0"/>
          <w:szCs w:val="21"/>
          <w:highlight w:val="none"/>
          <w:u w:val="single"/>
        </w:rPr>
        <w:t>执行</w:t>
      </w:r>
      <w:r>
        <w:rPr>
          <w:rFonts w:hint="eastAsia" w:ascii="宋体" w:cs="宋体"/>
          <w:color w:val="auto"/>
          <w:szCs w:val="21"/>
          <w:highlight w:val="none"/>
          <w:u w:val="single"/>
        </w:rPr>
        <w:t>补充条款。</w:t>
      </w:r>
    </w:p>
    <w:p>
      <w:pPr>
        <w:snapToGrid w:val="0"/>
        <w:spacing w:line="420" w:lineRule="exact"/>
        <w:ind w:firstLine="420" w:firstLineChars="200"/>
        <w:rPr>
          <w:rFonts w:hint="eastAsia" w:ascii="宋体" w:cs="宋体"/>
          <w:color w:val="auto"/>
          <w:kern w:val="0"/>
          <w:szCs w:val="21"/>
          <w:highlight w:val="none"/>
        </w:rPr>
      </w:pPr>
      <w:r>
        <w:rPr>
          <w:rFonts w:hint="eastAsia" w:ascii="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cs="宋体"/>
          <w:color w:val="auto"/>
          <w:kern w:val="0"/>
          <w:szCs w:val="21"/>
          <w:highlight w:val="none"/>
          <w:u w:val="single"/>
        </w:rPr>
        <w:t xml:space="preserve">   发包人不承担费用   </w:t>
      </w:r>
      <w:r>
        <w:rPr>
          <w:rFonts w:hint="eastAsia" w:ascii="宋体" w:cs="宋体"/>
          <w:color w:val="auto"/>
          <w:kern w:val="0"/>
          <w:szCs w:val="21"/>
          <w:highlight w:val="none"/>
        </w:rPr>
        <w:t>。</w:t>
      </w:r>
    </w:p>
    <w:p>
      <w:pPr>
        <w:pStyle w:val="5"/>
        <w:snapToGrid w:val="0"/>
        <w:spacing w:before="0" w:after="0" w:line="42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 xml:space="preserve">17. 不可抗力 </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17.1 不可抗力的确认</w:t>
      </w:r>
    </w:p>
    <w:p>
      <w:pPr>
        <w:snapToGrid w:val="0"/>
        <w:spacing w:line="420" w:lineRule="exact"/>
        <w:ind w:firstLine="420" w:firstLineChars="200"/>
        <w:jc w:val="left"/>
        <w:rPr>
          <w:rFonts w:hint="eastAsia" w:ascii="宋体" w:cs="宋体"/>
          <w:color w:val="auto"/>
          <w:kern w:val="0"/>
          <w:szCs w:val="21"/>
          <w:highlight w:val="none"/>
          <w:u w:val="single"/>
        </w:rPr>
      </w:pPr>
      <w:r>
        <w:rPr>
          <w:rFonts w:hint="eastAsia" w:ascii="宋体" w:cs="宋体"/>
          <w:color w:val="auto"/>
          <w:szCs w:val="21"/>
          <w:highlight w:val="none"/>
        </w:rPr>
        <w:t>除通用合同条款约定的不可抗力事件之外，视为不可抗力的其他情形：</w:t>
      </w:r>
      <w:r>
        <w:rPr>
          <w:rFonts w:hint="eastAsia" w:ascii="宋体" w:cs="宋体"/>
          <w:color w:val="auto"/>
          <w:kern w:val="0"/>
          <w:szCs w:val="21"/>
          <w:highlight w:val="none"/>
          <w:u w:val="single"/>
        </w:rPr>
        <w:t xml:space="preserve">   </w:t>
      </w:r>
      <w:r>
        <w:rPr>
          <w:rFonts w:hint="eastAsia" w:ascii="宋体" w:cs="宋体"/>
          <w:color w:val="auto"/>
          <w:szCs w:val="21"/>
          <w:highlight w:val="none"/>
          <w:u w:val="single"/>
        </w:rPr>
        <w:t>无</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rPr>
        <w:t>。</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17.4 因不可抗力解除合同</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合同解除后，发包人应在</w:t>
      </w:r>
      <w:r>
        <w:rPr>
          <w:rFonts w:hint="eastAsia" w:ascii="宋体" w:cs="宋体"/>
          <w:color w:val="auto"/>
          <w:szCs w:val="21"/>
          <w:highlight w:val="none"/>
          <w:u w:val="single"/>
        </w:rPr>
        <w:t>发票送达一周内</w:t>
      </w:r>
      <w:r>
        <w:rPr>
          <w:rFonts w:hint="eastAsia" w:ascii="宋体" w:cs="宋体"/>
          <w:color w:val="auto"/>
          <w:szCs w:val="21"/>
          <w:highlight w:val="none"/>
        </w:rPr>
        <w:t>完成款项的支付。</w:t>
      </w:r>
    </w:p>
    <w:p>
      <w:pPr>
        <w:pStyle w:val="5"/>
        <w:snapToGrid w:val="0"/>
        <w:spacing w:before="0" w:after="0" w:line="42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18. 保险</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18.1 工程保险</w:t>
      </w:r>
    </w:p>
    <w:p>
      <w:pPr>
        <w:snapToGrid w:val="0"/>
        <w:spacing w:line="420" w:lineRule="exact"/>
        <w:ind w:firstLine="420" w:firstLineChars="200"/>
        <w:rPr>
          <w:rFonts w:hint="eastAsia"/>
          <w:color w:val="auto"/>
          <w:highlight w:val="none"/>
        </w:rPr>
      </w:pPr>
      <w:r>
        <w:rPr>
          <w:rFonts w:hint="eastAsia"/>
          <w:color w:val="auto"/>
          <w:highlight w:val="none"/>
        </w:rPr>
        <w:t>关于工程保险的特别约定：</w:t>
      </w:r>
      <w:r>
        <w:rPr>
          <w:rFonts w:hint="eastAsia"/>
          <w:color w:val="auto"/>
          <w:highlight w:val="none"/>
          <w:u w:val="single"/>
        </w:rPr>
        <w:t xml:space="preserve"> 无   </w:t>
      </w:r>
      <w:r>
        <w:rPr>
          <w:rFonts w:hint="eastAsia"/>
          <w:color w:val="auto"/>
          <w:highlight w:val="none"/>
        </w:rPr>
        <w:t>。</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18.3 其他保险</w:t>
      </w:r>
    </w:p>
    <w:p>
      <w:pPr>
        <w:snapToGrid w:val="0"/>
        <w:spacing w:line="420" w:lineRule="exact"/>
        <w:ind w:firstLine="420" w:firstLineChars="200"/>
        <w:jc w:val="left"/>
        <w:rPr>
          <w:rFonts w:hint="eastAsia" w:ascii="宋体" w:cs="宋体"/>
          <w:color w:val="auto"/>
          <w:kern w:val="0"/>
          <w:szCs w:val="21"/>
          <w:highlight w:val="none"/>
        </w:rPr>
      </w:pPr>
      <w:r>
        <w:rPr>
          <w:rFonts w:hint="eastAsia" w:ascii="宋体" w:cs="宋体"/>
          <w:color w:val="auto"/>
          <w:szCs w:val="21"/>
          <w:highlight w:val="none"/>
        </w:rPr>
        <w:t>关于其他保险的约定：</w:t>
      </w:r>
      <w:r>
        <w:rPr>
          <w:rFonts w:hint="eastAsia" w:ascii="宋体" w:cs="宋体"/>
          <w:color w:val="auto"/>
          <w:kern w:val="0"/>
          <w:szCs w:val="21"/>
          <w:highlight w:val="none"/>
          <w:u w:val="single"/>
        </w:rPr>
        <w:t xml:space="preserve"> 执行国家、省、市有关规定</w:t>
      </w:r>
    </w:p>
    <w:p>
      <w:pPr>
        <w:snapToGrid w:val="0"/>
        <w:spacing w:line="42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承包人是否应为其施工设备等办理财产保险：</w:t>
      </w:r>
      <w:r>
        <w:rPr>
          <w:rFonts w:hint="eastAsia" w:ascii="宋体" w:cs="宋体"/>
          <w:color w:val="auto"/>
          <w:szCs w:val="21"/>
          <w:highlight w:val="none"/>
          <w:u w:val="single"/>
        </w:rPr>
        <w:t xml:space="preserve"> 承包人应为其施工设备等办理财产保险。</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18.7 通知义务</w:t>
      </w:r>
    </w:p>
    <w:p>
      <w:pPr>
        <w:snapToGrid w:val="0"/>
        <w:spacing w:line="42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rPr>
        <w:t>关于变更保险合同时的通知义务的约定：</w:t>
      </w:r>
      <w:r>
        <w:rPr>
          <w:rFonts w:hint="eastAsia" w:ascii="宋体" w:cs="宋体"/>
          <w:color w:val="auto"/>
          <w:kern w:val="0"/>
          <w:szCs w:val="21"/>
          <w:highlight w:val="none"/>
          <w:u w:val="single"/>
        </w:rPr>
        <w:t>发包人变更除工伤保险之外的保险合同时，应事先征得承包人同意，并通知监理人；承包人变更除工伤保险之外的保险合同时，应事先征得发包人同意，并通知监理人。</w:t>
      </w:r>
    </w:p>
    <w:p>
      <w:pPr>
        <w:snapToGrid w:val="0"/>
        <w:spacing w:line="420" w:lineRule="exact"/>
        <w:ind w:firstLine="420" w:firstLineChars="200"/>
        <w:jc w:val="left"/>
        <w:rPr>
          <w:rFonts w:hint="eastAsia" w:ascii="宋体" w:cs="宋体"/>
          <w:color w:val="auto"/>
          <w:kern w:val="0"/>
          <w:szCs w:val="21"/>
          <w:highlight w:val="none"/>
          <w:u w:val="single"/>
        </w:rPr>
      </w:pPr>
      <w:r>
        <w:rPr>
          <w:rFonts w:hint="eastAsia" w:ascii="宋体" w:cs="宋体"/>
          <w:color w:val="auto"/>
          <w:kern w:val="0"/>
          <w:szCs w:val="21"/>
          <w:highlight w:val="none"/>
          <w:u w:val="single"/>
        </w:rPr>
        <w:t>保险事故发生时，投保人应按照保险合同规定的条件和期限及时向保险人报告。发包人和承包人应当在知道保险事故发生后及时通知对方。</w:t>
      </w:r>
    </w:p>
    <w:p>
      <w:pPr>
        <w:pStyle w:val="5"/>
        <w:snapToGrid w:val="0"/>
        <w:spacing w:before="0" w:after="0" w:line="420" w:lineRule="exact"/>
        <w:ind w:firstLine="420" w:firstLineChars="200"/>
        <w:rPr>
          <w:rFonts w:hint="eastAsia" w:ascii="宋体" w:eastAsia="宋体" w:cs="宋体"/>
          <w:b w:val="0"/>
          <w:color w:val="auto"/>
          <w:sz w:val="21"/>
          <w:szCs w:val="21"/>
          <w:highlight w:val="none"/>
        </w:rPr>
      </w:pPr>
      <w:r>
        <w:rPr>
          <w:rFonts w:hint="eastAsia" w:ascii="宋体" w:eastAsia="宋体" w:cs="宋体"/>
          <w:b w:val="0"/>
          <w:color w:val="auto"/>
          <w:sz w:val="21"/>
          <w:szCs w:val="21"/>
          <w:highlight w:val="none"/>
        </w:rPr>
        <w:t>20. 争议解决</w:t>
      </w:r>
    </w:p>
    <w:p>
      <w:pPr>
        <w:snapToGrid w:val="0"/>
        <w:spacing w:line="420" w:lineRule="exact"/>
        <w:ind w:firstLine="420" w:firstLineChars="200"/>
        <w:rPr>
          <w:rFonts w:hint="eastAsia" w:ascii="宋体" w:cs="宋体"/>
          <w:color w:val="auto"/>
          <w:szCs w:val="21"/>
          <w:highlight w:val="none"/>
        </w:rPr>
      </w:pPr>
      <w:r>
        <w:rPr>
          <w:rFonts w:hint="eastAsia" w:ascii="宋体" w:cs="宋体"/>
          <w:color w:val="auto"/>
          <w:szCs w:val="21"/>
          <w:highlight w:val="none"/>
        </w:rPr>
        <w:t>20.3 争议评审</w:t>
      </w:r>
    </w:p>
    <w:p>
      <w:pPr>
        <w:snapToGrid w:val="0"/>
        <w:spacing w:line="42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合同当事人是否同意将工程争议提交争议评审小组决定：</w:t>
      </w:r>
      <w:r>
        <w:rPr>
          <w:rFonts w:hint="eastAsia" w:ascii="宋体" w:cs="宋体"/>
          <w:color w:val="auto"/>
          <w:szCs w:val="21"/>
          <w:highlight w:val="none"/>
          <w:u w:val="single"/>
        </w:rPr>
        <w:t xml:space="preserve">  不同意   </w:t>
      </w:r>
      <w:r>
        <w:rPr>
          <w:rFonts w:hint="eastAsia" w:ascii="宋体" w:cs="宋体"/>
          <w:color w:val="auto"/>
          <w:szCs w:val="21"/>
          <w:highlight w:val="none"/>
        </w:rPr>
        <w:t xml:space="preserve">。  </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20.3.1 争议评审小组的确定</w:t>
      </w:r>
    </w:p>
    <w:p>
      <w:pPr>
        <w:snapToGrid w:val="0"/>
        <w:spacing w:line="420" w:lineRule="exact"/>
        <w:ind w:firstLine="420" w:firstLineChars="200"/>
        <w:jc w:val="left"/>
        <w:rPr>
          <w:rFonts w:hint="eastAsia" w:ascii="宋体" w:cs="宋体"/>
          <w:color w:val="auto"/>
          <w:szCs w:val="21"/>
          <w:highlight w:val="none"/>
          <w:u w:val="single"/>
        </w:rPr>
      </w:pPr>
      <w:r>
        <w:rPr>
          <w:rFonts w:hint="eastAsia" w:ascii="宋体" w:cs="宋体"/>
          <w:color w:val="auto"/>
          <w:szCs w:val="21"/>
          <w:highlight w:val="none"/>
        </w:rPr>
        <w:t>争议评审小组成员的确定：</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选定争议评审员的期限：</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争议评审小组成员的报酬承担方式：</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其他事项的约定：</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autoSpaceDE w:val="0"/>
        <w:autoSpaceDN w:val="0"/>
        <w:adjustRightInd w:val="0"/>
        <w:snapToGrid w:val="0"/>
        <w:spacing w:line="42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20.3.2 争议评审小组的决定</w:t>
      </w:r>
    </w:p>
    <w:p>
      <w:pPr>
        <w:snapToGrid w:val="0"/>
        <w:spacing w:line="420" w:lineRule="exact"/>
        <w:ind w:firstLine="420" w:firstLineChars="200"/>
        <w:jc w:val="left"/>
        <w:rPr>
          <w:rFonts w:hint="eastAsia" w:ascii="宋体" w:cs="宋体"/>
          <w:color w:val="auto"/>
          <w:szCs w:val="21"/>
          <w:highlight w:val="none"/>
        </w:rPr>
      </w:pPr>
      <w:r>
        <w:rPr>
          <w:rFonts w:hint="eastAsia" w:ascii="宋体" w:cs="宋体"/>
          <w:color w:val="auto"/>
          <w:szCs w:val="21"/>
          <w:highlight w:val="none"/>
        </w:rPr>
        <w:t>合同当事人关于本项的约定：</w:t>
      </w:r>
      <w:r>
        <w:rPr>
          <w:rFonts w:hint="eastAsia" w:ascii="宋体" w:cs="宋体"/>
          <w:color w:val="auto"/>
          <w:szCs w:val="21"/>
          <w:highlight w:val="none"/>
          <w:u w:val="single"/>
        </w:rPr>
        <w:t xml:space="preserve">  无   </w:t>
      </w:r>
      <w:r>
        <w:rPr>
          <w:rFonts w:hint="eastAsia" w:ascii="宋体" w:cs="宋体"/>
          <w:color w:val="auto"/>
          <w:szCs w:val="21"/>
          <w:highlight w:val="none"/>
        </w:rPr>
        <w:t>。</w:t>
      </w:r>
    </w:p>
    <w:p>
      <w:pPr>
        <w:autoSpaceDE w:val="0"/>
        <w:autoSpaceDN w:val="0"/>
        <w:adjustRightInd w:val="0"/>
        <w:snapToGrid w:val="0"/>
        <w:spacing w:line="42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20.4仲裁或诉讼</w:t>
      </w:r>
    </w:p>
    <w:p>
      <w:pPr>
        <w:autoSpaceDE w:val="0"/>
        <w:autoSpaceDN w:val="0"/>
        <w:adjustRightInd w:val="0"/>
        <w:snapToGrid w:val="0"/>
        <w:spacing w:line="420" w:lineRule="exact"/>
        <w:ind w:firstLine="420" w:firstLineChars="200"/>
        <w:jc w:val="left"/>
        <w:rPr>
          <w:rFonts w:hint="eastAsia" w:ascii="宋体" w:cs="宋体"/>
          <w:color w:val="auto"/>
          <w:kern w:val="0"/>
          <w:szCs w:val="21"/>
          <w:highlight w:val="none"/>
        </w:rPr>
      </w:pPr>
      <w:r>
        <w:rPr>
          <w:rFonts w:hint="eastAsia" w:ascii="宋体" w:cs="宋体"/>
          <w:color w:val="auto"/>
          <w:kern w:val="0"/>
          <w:szCs w:val="21"/>
          <w:highlight w:val="none"/>
        </w:rPr>
        <w:t>因合同及合同有关事项发生的争议，按下列第</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u w:val="single"/>
          <w:lang w:val="en-US" w:eastAsia="zh-CN"/>
        </w:rPr>
        <w:t xml:space="preserve"> 1 </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rPr>
        <w:t>种方式解决：</w:t>
      </w:r>
    </w:p>
    <w:p>
      <w:pPr>
        <w:keepNext w:val="0"/>
        <w:keepLines w:val="0"/>
        <w:pageBreakBefore w:val="0"/>
        <w:widowControl w:val="0"/>
        <w:numPr>
          <w:ilvl w:val="0"/>
          <w:numId w:val="6"/>
        </w:numPr>
        <w:kinsoku/>
        <w:wordWrap/>
        <w:overflowPunct/>
        <w:topLinePunct w:val="0"/>
        <w:autoSpaceDE w:val="0"/>
        <w:autoSpaceDN w:val="0"/>
        <w:bidi w:val="0"/>
        <w:adjustRightInd w:val="0"/>
        <w:snapToGrid w:val="0"/>
        <w:spacing w:line="420" w:lineRule="exact"/>
        <w:ind w:left="317" w:firstLine="0" w:firstLineChars="0"/>
        <w:jc w:val="both"/>
        <w:textAlignment w:val="auto"/>
        <w:rPr>
          <w:rFonts w:hint="eastAsia" w:ascii="宋体" w:cs="宋体"/>
          <w:color w:val="auto"/>
          <w:kern w:val="0"/>
          <w:szCs w:val="21"/>
          <w:highlight w:val="none"/>
        </w:rPr>
      </w:pPr>
      <w:r>
        <w:rPr>
          <w:rFonts w:hint="eastAsia" w:ascii="宋体" w:cs="宋体"/>
          <w:color w:val="auto"/>
          <w:kern w:val="0"/>
          <w:szCs w:val="21"/>
          <w:highlight w:val="none"/>
        </w:rPr>
        <w:t>向</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u w:val="single"/>
          <w:lang w:val="en-US" w:eastAsia="zh-CN"/>
        </w:rPr>
        <w:t>滁州</w:t>
      </w:r>
      <w:r>
        <w:rPr>
          <w:rFonts w:hint="eastAsia" w:ascii="宋体" w:cs="宋体"/>
          <w:color w:val="auto"/>
          <w:kern w:val="0"/>
          <w:szCs w:val="21"/>
          <w:highlight w:val="none"/>
          <w:u w:val="single"/>
        </w:rPr>
        <w:t xml:space="preserve">   </w:t>
      </w:r>
      <w:r>
        <w:rPr>
          <w:rFonts w:hint="eastAsia" w:ascii="宋体" w:cs="宋体"/>
          <w:color w:val="auto"/>
          <w:kern w:val="0"/>
          <w:szCs w:val="21"/>
          <w:highlight w:val="none"/>
        </w:rPr>
        <w:t>仲裁委员会申请仲裁；</w:t>
      </w:r>
    </w:p>
    <w:p>
      <w:pPr>
        <w:keepNext w:val="0"/>
        <w:keepLines w:val="0"/>
        <w:pageBreakBefore w:val="0"/>
        <w:widowControl w:val="0"/>
        <w:numPr>
          <w:ilvl w:val="0"/>
          <w:numId w:val="6"/>
        </w:numPr>
        <w:kinsoku/>
        <w:wordWrap/>
        <w:overflowPunct/>
        <w:topLinePunct w:val="0"/>
        <w:autoSpaceDE w:val="0"/>
        <w:autoSpaceDN w:val="0"/>
        <w:bidi w:val="0"/>
        <w:adjustRightInd w:val="0"/>
        <w:snapToGrid w:val="0"/>
        <w:spacing w:line="420" w:lineRule="exact"/>
        <w:ind w:left="317" w:firstLine="0" w:firstLineChars="0"/>
        <w:jc w:val="both"/>
        <w:textAlignment w:val="auto"/>
        <w:rPr>
          <w:rFonts w:hint="eastAsia" w:ascii="宋体" w:cs="宋体"/>
          <w:color w:val="auto"/>
          <w:kern w:val="0"/>
          <w:szCs w:val="21"/>
          <w:highlight w:val="none"/>
        </w:rPr>
      </w:pPr>
      <w:r>
        <w:rPr>
          <w:rFonts w:hint="eastAsia" w:ascii="宋体" w:cs="宋体"/>
          <w:color w:val="auto"/>
          <w:kern w:val="0"/>
          <w:szCs w:val="21"/>
          <w:highlight w:val="none"/>
        </w:rPr>
        <w:t>向</w:t>
      </w:r>
      <w:r>
        <w:rPr>
          <w:rFonts w:hint="eastAsia" w:ascii="宋体" w:hAnsi="宋体" w:cs="宋体"/>
          <w:color w:val="auto"/>
          <w:szCs w:val="21"/>
          <w:highlight w:val="none"/>
          <w:u w:val="single"/>
        </w:rPr>
        <w:t>工程所在地</w:t>
      </w:r>
      <w:r>
        <w:rPr>
          <w:rFonts w:hint="eastAsia" w:ascii="宋体" w:cs="宋体"/>
          <w:color w:val="auto"/>
          <w:kern w:val="0"/>
          <w:szCs w:val="21"/>
          <w:highlight w:val="none"/>
        </w:rPr>
        <w:t>人民法院起诉。</w:t>
      </w:r>
    </w:p>
    <w:p>
      <w:pPr>
        <w:pStyle w:val="5"/>
        <w:snapToGrid w:val="0"/>
        <w:spacing w:before="0" w:after="0" w:line="420" w:lineRule="exact"/>
        <w:ind w:firstLine="420" w:firstLineChars="200"/>
        <w:rPr>
          <w:rFonts w:hint="eastAsia" w:ascii="宋体" w:eastAsia="宋体" w:cs="宋体"/>
          <w:b w:val="0"/>
          <w:color w:val="auto"/>
          <w:sz w:val="21"/>
          <w:szCs w:val="21"/>
          <w:highlight w:val="none"/>
        </w:rPr>
      </w:pPr>
      <w:bookmarkStart w:id="886" w:name="_Toc95223485"/>
      <w:r>
        <w:rPr>
          <w:rFonts w:hint="eastAsia" w:ascii="宋体" w:eastAsia="宋体" w:cs="宋体"/>
          <w:b w:val="0"/>
          <w:color w:val="auto"/>
          <w:sz w:val="21"/>
          <w:szCs w:val="21"/>
          <w:highlight w:val="none"/>
        </w:rPr>
        <w:t>21. 补充条款</w:t>
      </w:r>
      <w:bookmarkEnd w:id="886"/>
      <w:r>
        <w:rPr>
          <w:rFonts w:hint="eastAsia" w:ascii="宋体" w:eastAsia="宋体" w:cs="宋体"/>
          <w:b w:val="0"/>
          <w:color w:val="auto"/>
          <w:sz w:val="21"/>
          <w:szCs w:val="21"/>
          <w:highlight w:val="none"/>
        </w:rPr>
        <w:t xml:space="preserve"> </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本补充条款是专用条款的一部分，其解释顺序优先于专用条款内的其他条款。</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 人员及职责</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21.1.1 发包人委派的发包人代表或监理工程师（以下简称“工程师”）无权更改合同，也无权解除发包人和承包人的义务和责任。</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21.1.2 发包人代表的任何批准、检查、证书、同意、通知、建议、检验、指令和要求等不解除承包人在合同中的责任。</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21.1.3 承包人只能从发包人代表或其授权代表处接受指令。</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21.1.4 发包人如需更换发包人代表须提前7天通知承包人。</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21.1.5 投标人委任的项目经理、项目技术负责人、各专业负责人（其他主要管理人员和技术人员）及施工机械等在整个项目施工期内必须在位。</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承包人的项目经理离开现场的，须经发包人代表同意，并书面指定临时代表，代为行使项目经理的权力；该临时代表的一切行为，甲方均认为是项目经理的行为。</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21.1.6 承包人提交发包人的任何文件，发包人都认为该文件已经承包人内部程序批准；承包人提交的文件发生修改的，应及时将最新版本提交发包人代表。</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21.1.7 承包人应始终采取一切合理防范措施来避免在项目人员内部发生违法、动乱或妨碍治安的行为，保持项目的安定；并保护好现场和周围的人员和财产安全。</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21.1.8 承包人雇佣职员或工人应遵守相关法律法规的规定。</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21.1.9 参与本项目的承包人代表或其雇员不遵守合同规定或一贯行为不轨或或不能胜任工作或危害安全，发包人代表有权要求更换；原人选未经发包人许可不得再进入本项目（包括项目经理在内）。</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21.1.10 承包人更换项目经理的，须提前14天通知发包人，并征得发包人同意；该行为视为违约，承包人须支付发包人</w:t>
      </w:r>
      <w:r>
        <w:rPr>
          <w:rFonts w:hint="eastAsia" w:ascii="宋体" w:hAnsi="Times New Roman" w:eastAsia="宋体" w:cs="宋体"/>
          <w:color w:val="auto"/>
          <w:kern w:val="0"/>
          <w:szCs w:val="21"/>
          <w:highlight w:val="none"/>
          <w:lang w:val="en-US" w:eastAsia="zh-CN"/>
        </w:rPr>
        <w:t>10</w:t>
      </w:r>
      <w:r>
        <w:rPr>
          <w:rFonts w:hint="eastAsia" w:ascii="宋体" w:hAnsi="Times New Roman" w:eastAsia="宋体" w:cs="宋体"/>
          <w:color w:val="auto"/>
          <w:kern w:val="0"/>
          <w:szCs w:val="21"/>
          <w:highlight w:val="none"/>
        </w:rPr>
        <w:t>万元违约金。更换后的项目经理资历、水平不得降低。</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 变更与调整</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21.2.1 在工程移交前，发包人代表有权签发变更指令，承包人应按照指令来实施变更，并进行工期和费用的估算，提交发包人代表。</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21.2.2 发包人代表收到承包人的估算后，可以决定撤销、修改或确认实施该项变更。</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21.2.3 如果承包人认为自己的建议能缩短工期、降低工程实施或运营成本，或对业主产生其他利益，可以向发包人代表提交建议书；建议书的编制费用自理。</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21.2.4 如果发包人采纳承包人的建议节省了工程费用，将给予承包人节约费用适当比例的奖励。</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21.2.5 上一款中节省费用的计算方法为：降低的合同额度减去因变更而引起在工程质量、寿命、以及运营效率等方面为发包人带来的潜在损失。</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21.2.6 任何变更指令都应由发包人代表签发给承包人，承包人收到后应回函说明；涉及到费用调整的，按照相关条款执行。</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21.2.7 设计文件示意内容的尺寸做法、要求等标注有错误、有遗漏，或理解不一致，发包人或其委托的勘查设计单位根据工程施工需要而对其进行更正和补充的，称为技术核定；技术核定不调整合同价款，也不调整工期。</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21.2.8 未经发包人代表批准，承包人不得对工程进行任何变更。</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w:t>
      </w:r>
      <w:r>
        <w:rPr>
          <w:rFonts w:hint="eastAsia" w:ascii="宋体" w:cs="宋体"/>
          <w:color w:val="auto"/>
          <w:kern w:val="0"/>
          <w:szCs w:val="21"/>
          <w:highlight w:val="none"/>
          <w:lang w:val="en-US" w:eastAsia="zh-CN"/>
        </w:rPr>
        <w:t>3</w:t>
      </w:r>
      <w:r>
        <w:rPr>
          <w:rFonts w:hint="eastAsia" w:ascii="宋体" w:hAnsi="Times New Roman" w:eastAsia="宋体" w:cs="宋体"/>
          <w:color w:val="auto"/>
          <w:kern w:val="0"/>
          <w:szCs w:val="21"/>
          <w:highlight w:val="none"/>
        </w:rPr>
        <w:t xml:space="preserve"> 结算</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w:t>
      </w:r>
      <w:r>
        <w:rPr>
          <w:rFonts w:hint="eastAsia" w:ascii="宋体" w:cs="宋体"/>
          <w:color w:val="auto"/>
          <w:kern w:val="0"/>
          <w:szCs w:val="21"/>
          <w:highlight w:val="none"/>
          <w:lang w:val="en-US" w:eastAsia="zh-CN"/>
        </w:rPr>
        <w:t>3</w:t>
      </w:r>
      <w:r>
        <w:rPr>
          <w:rFonts w:hint="eastAsia" w:ascii="宋体" w:hAnsi="Times New Roman" w:eastAsia="宋体" w:cs="宋体"/>
          <w:color w:val="auto"/>
          <w:kern w:val="0"/>
          <w:szCs w:val="21"/>
          <w:highlight w:val="none"/>
        </w:rPr>
        <w:t>.1 承包人的投标报价（合同价款）是承包人基于业主提供的资料和现场数据及承包人的解释和现场考察计算出来的，覆盖了完成合同义务所包括的一切工作，不得以漏项或考虑不周提出索赔。</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w:t>
      </w:r>
      <w:r>
        <w:rPr>
          <w:rFonts w:hint="eastAsia" w:ascii="宋体" w:cs="宋体"/>
          <w:color w:val="auto"/>
          <w:kern w:val="0"/>
          <w:szCs w:val="21"/>
          <w:highlight w:val="none"/>
          <w:lang w:val="en-US" w:eastAsia="zh-CN"/>
        </w:rPr>
        <w:t>3</w:t>
      </w:r>
      <w:r>
        <w:rPr>
          <w:rFonts w:hint="eastAsia" w:ascii="宋体" w:hAnsi="Times New Roman" w:eastAsia="宋体" w:cs="宋体"/>
          <w:color w:val="auto"/>
          <w:kern w:val="0"/>
          <w:szCs w:val="21"/>
          <w:highlight w:val="none"/>
        </w:rPr>
        <w:t>.2 水电费的结算：</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（1）发包人在现场安装计量装置，承包人负责施工期间的保护，并在工程移交的同时完好地移交给发包人。</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（2）承包人投标报价已经包含水电费用，工程结算时按照发包人实际缴纳的水电费在结算价（税前）中扣除。</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（3）因承包人保护不善造成计量装置损坏，承包人负责修复，并承担由此造成的增加费用（包括修复费用和水电损失费用以及可能发生的罚款或其他费用）。</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w:t>
      </w:r>
      <w:r>
        <w:rPr>
          <w:rFonts w:hint="eastAsia" w:ascii="宋体" w:cs="宋体"/>
          <w:color w:val="auto"/>
          <w:kern w:val="0"/>
          <w:szCs w:val="21"/>
          <w:highlight w:val="none"/>
          <w:lang w:val="en-US" w:eastAsia="zh-CN"/>
        </w:rPr>
        <w:t>3</w:t>
      </w:r>
      <w:r>
        <w:rPr>
          <w:rFonts w:hint="eastAsia" w:ascii="宋体" w:hAnsi="Times New Roman" w:eastAsia="宋体" w:cs="宋体"/>
          <w:color w:val="auto"/>
          <w:kern w:val="0"/>
          <w:szCs w:val="21"/>
          <w:highlight w:val="none"/>
        </w:rPr>
        <w:t>.3 发包人供应材料设备的结算：材料按照总价的</w:t>
      </w:r>
      <w:r>
        <w:rPr>
          <w:rFonts w:hint="eastAsia" w:ascii="宋体" w:cs="宋体"/>
          <w:color w:val="auto"/>
          <w:kern w:val="0"/>
          <w:szCs w:val="21"/>
          <w:highlight w:val="none"/>
          <w:lang w:val="en-US" w:eastAsia="zh-CN"/>
        </w:rPr>
        <w:t>0</w:t>
      </w:r>
      <w:r>
        <w:rPr>
          <w:rFonts w:hint="eastAsia" w:ascii="宋体" w:hAnsi="Times New Roman" w:eastAsia="宋体" w:cs="宋体"/>
          <w:color w:val="auto"/>
          <w:kern w:val="0"/>
          <w:szCs w:val="21"/>
          <w:highlight w:val="none"/>
        </w:rPr>
        <w:t xml:space="preserve"> %计取保管费；设备按照总价的</w:t>
      </w:r>
      <w:r>
        <w:rPr>
          <w:rFonts w:hint="eastAsia" w:ascii="宋体" w:cs="宋体"/>
          <w:color w:val="auto"/>
          <w:kern w:val="0"/>
          <w:szCs w:val="21"/>
          <w:highlight w:val="none"/>
          <w:lang w:val="en-US" w:eastAsia="zh-CN"/>
        </w:rPr>
        <w:t>0</w:t>
      </w:r>
      <w:r>
        <w:rPr>
          <w:rFonts w:hint="eastAsia" w:ascii="宋体" w:hAnsi="Times New Roman" w:eastAsia="宋体" w:cs="宋体"/>
          <w:color w:val="auto"/>
          <w:kern w:val="0"/>
          <w:szCs w:val="21"/>
          <w:highlight w:val="none"/>
        </w:rPr>
        <w:t>%计取保管费；</w:t>
      </w:r>
    </w:p>
    <w:p>
      <w:pPr>
        <w:autoSpaceDE w:val="0"/>
        <w:autoSpaceDN w:val="0"/>
        <w:adjustRightInd w:val="0"/>
        <w:snapToGrid w:val="0"/>
        <w:spacing w:line="420" w:lineRule="exact"/>
        <w:ind w:firstLine="420" w:firstLineChars="200"/>
        <w:jc w:val="left"/>
        <w:rPr>
          <w:rFonts w:hint="eastAsia" w:ascii="宋体" w:hAnsi="Times New Roman" w:eastAsia="宋体" w:cs="宋体"/>
          <w:color w:val="auto"/>
          <w:kern w:val="0"/>
          <w:szCs w:val="21"/>
          <w:highlight w:val="none"/>
        </w:rPr>
      </w:pPr>
      <w:r>
        <w:rPr>
          <w:rFonts w:hint="eastAsia" w:ascii="宋体" w:hAnsi="Times New Roman" w:eastAsia="宋体" w:cs="宋体"/>
          <w:color w:val="auto"/>
          <w:kern w:val="0"/>
          <w:szCs w:val="21"/>
          <w:highlight w:val="none"/>
        </w:rPr>
        <w:t>21.</w:t>
      </w:r>
      <w:r>
        <w:rPr>
          <w:rFonts w:hint="eastAsia" w:ascii="宋体" w:cs="宋体"/>
          <w:color w:val="auto"/>
          <w:kern w:val="0"/>
          <w:szCs w:val="21"/>
          <w:highlight w:val="none"/>
          <w:lang w:val="en-US" w:eastAsia="zh-CN"/>
        </w:rPr>
        <w:t>3</w:t>
      </w:r>
      <w:r>
        <w:rPr>
          <w:rFonts w:hint="eastAsia" w:ascii="宋体" w:hAnsi="Times New Roman" w:eastAsia="宋体" w:cs="宋体"/>
          <w:color w:val="auto"/>
          <w:kern w:val="0"/>
          <w:szCs w:val="21"/>
          <w:highlight w:val="none"/>
        </w:rPr>
        <w:t>.</w:t>
      </w:r>
      <w:r>
        <w:rPr>
          <w:rFonts w:hint="eastAsia" w:ascii="宋体" w:cs="宋体"/>
          <w:color w:val="auto"/>
          <w:kern w:val="0"/>
          <w:szCs w:val="21"/>
          <w:highlight w:val="none"/>
          <w:lang w:val="en-US" w:eastAsia="zh-CN"/>
        </w:rPr>
        <w:t xml:space="preserve">4 </w:t>
      </w:r>
      <w:r>
        <w:rPr>
          <w:rFonts w:hint="eastAsia" w:ascii="宋体" w:hAnsi="Times New Roman" w:eastAsia="宋体" w:cs="宋体"/>
          <w:color w:val="auto"/>
          <w:kern w:val="0"/>
          <w:szCs w:val="21"/>
          <w:highlight w:val="none"/>
        </w:rPr>
        <w:t>对于发包人提供的工程量清单中的单项子目，承包人没有报价的，发包人认为视同该项价格已经包括在其他项目中。</w:t>
      </w:r>
    </w:p>
    <w:p>
      <w:pPr>
        <w:adjustRightInd w:val="0"/>
        <w:snapToGrid w:val="0"/>
        <w:spacing w:line="360" w:lineRule="auto"/>
        <w:rPr>
          <w:rFonts w:hint="eastAsia" w:ascii="宋体" w:hAnsi="宋体" w:cs="宋体"/>
          <w:b/>
          <w:color w:val="auto"/>
          <w:highlight w:val="none"/>
        </w:rPr>
      </w:pP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发包人：  (公章)                           承包人：  (公章)</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法定代表人或其委托代理人：                 法定代表人或其委托代理人：</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（签字）                                  （签字）</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组织机构代码：</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组织机构代码：</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地  址：</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地  址：</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邮政编码：</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邮政编码：</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法定代表人：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法定代表人：</w:t>
      </w:r>
      <w:r>
        <w:rPr>
          <w:rFonts w:hint="eastAsia" w:ascii="宋体" w:hAnsi="宋体" w:cs="宋体"/>
          <w:color w:val="auto"/>
          <w:highlight w:val="none"/>
          <w:u w:val="single"/>
        </w:rPr>
        <w:t xml:space="preserve">      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委托代理人：</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委托代理人：</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电  话：</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电  话：</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传  真：</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传  真：</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电子信箱：</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电子信箱：</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rPr>
      </w:pPr>
      <w:r>
        <w:rPr>
          <w:rFonts w:hint="eastAsia" w:ascii="宋体" w:hAnsi="宋体" w:cs="宋体"/>
          <w:color w:val="auto"/>
          <w:highlight w:val="none"/>
        </w:rPr>
        <w:t>开户银行：</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开户银行：</w:t>
      </w:r>
      <w:r>
        <w:rPr>
          <w:rFonts w:hint="eastAsia" w:ascii="宋体" w:hAnsi="宋体" w:cs="宋体"/>
          <w:color w:val="auto"/>
          <w:highlight w:val="none"/>
          <w:u w:val="single"/>
        </w:rPr>
        <w:t xml:space="preserve">                   </w:t>
      </w:r>
    </w:p>
    <w:p>
      <w:pPr>
        <w:adjustRightInd w:val="0"/>
        <w:snapToGrid w:val="0"/>
        <w:spacing w:line="360" w:lineRule="auto"/>
        <w:rPr>
          <w:rFonts w:hint="eastAsia" w:ascii="宋体" w:hAnsi="宋体" w:cs="宋体"/>
          <w:color w:val="auto"/>
          <w:highlight w:val="none"/>
          <w:u w:val="single"/>
        </w:rPr>
      </w:pPr>
      <w:r>
        <w:rPr>
          <w:rFonts w:hint="eastAsia" w:ascii="宋体" w:hAnsi="宋体" w:cs="宋体"/>
          <w:color w:val="auto"/>
          <w:highlight w:val="none"/>
        </w:rPr>
        <w:t>账  号：</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账  号：</w:t>
      </w:r>
      <w:r>
        <w:rPr>
          <w:rFonts w:hint="eastAsia" w:ascii="宋体" w:hAnsi="宋体" w:cs="宋体"/>
          <w:color w:val="auto"/>
          <w:highlight w:val="none"/>
          <w:u w:val="single"/>
        </w:rPr>
        <w:t xml:space="preserve">                     </w:t>
      </w:r>
    </w:p>
    <w:p>
      <w:pPr>
        <w:pStyle w:val="14"/>
        <w:rPr>
          <w:rFonts w:hint="eastAsia"/>
          <w:color w:val="auto"/>
          <w:highlight w:val="none"/>
        </w:rPr>
      </w:pPr>
    </w:p>
    <w:bookmarkEnd w:id="884"/>
    <w:bookmarkEnd w:id="885"/>
    <w:p>
      <w:pPr>
        <w:tabs>
          <w:tab w:val="left" w:pos="3120"/>
        </w:tabs>
        <w:spacing w:beforeLines="50" w:afterLines="50" w:line="440" w:lineRule="exact"/>
        <w:jc w:val="both"/>
        <w:rPr>
          <w:rFonts w:hint="eastAsia" w:ascii="宋体" w:hAnsi="宋体" w:cs="宋体"/>
          <w:b/>
          <w:bCs/>
          <w:color w:val="auto"/>
          <w:sz w:val="28"/>
          <w:szCs w:val="28"/>
          <w:highlight w:val="none"/>
        </w:rPr>
      </w:pPr>
    </w:p>
    <w:p>
      <w:pPr>
        <w:tabs>
          <w:tab w:val="left" w:pos="3120"/>
        </w:tabs>
        <w:spacing w:beforeLines="50" w:afterLines="50" w:line="440" w:lineRule="exact"/>
        <w:jc w:val="center"/>
        <w:rPr>
          <w:rFonts w:hint="eastAsia" w:ascii="宋体" w:hAnsi="宋体" w:cs="宋体"/>
          <w:b/>
          <w:bCs/>
          <w:color w:val="auto"/>
          <w:sz w:val="28"/>
          <w:szCs w:val="28"/>
          <w:highlight w:val="none"/>
        </w:rPr>
      </w:pPr>
    </w:p>
    <w:p>
      <w:pPr>
        <w:pStyle w:val="14"/>
        <w:rPr>
          <w:rFonts w:hint="eastAsia" w:ascii="宋体" w:hAnsi="宋体" w:cs="宋体"/>
          <w:b/>
          <w:bCs/>
          <w:color w:val="auto"/>
          <w:sz w:val="28"/>
          <w:szCs w:val="28"/>
          <w:highlight w:val="none"/>
        </w:rPr>
      </w:pPr>
    </w:p>
    <w:p>
      <w:pPr>
        <w:rPr>
          <w:rFonts w:hint="eastAsia" w:ascii="宋体" w:hAnsi="宋体" w:cs="宋体"/>
          <w:b/>
          <w:bCs/>
          <w:color w:val="auto"/>
          <w:sz w:val="28"/>
          <w:szCs w:val="28"/>
          <w:highlight w:val="none"/>
        </w:rPr>
      </w:pPr>
    </w:p>
    <w:p>
      <w:pPr>
        <w:pStyle w:val="14"/>
        <w:rPr>
          <w:rFonts w:hint="eastAsia" w:ascii="宋体" w:hAnsi="宋体" w:cs="宋体"/>
          <w:b/>
          <w:bCs/>
          <w:color w:val="auto"/>
          <w:sz w:val="28"/>
          <w:szCs w:val="28"/>
          <w:highlight w:val="none"/>
        </w:rPr>
      </w:pPr>
    </w:p>
    <w:p>
      <w:pPr>
        <w:rPr>
          <w:rFonts w:hint="eastAsia" w:ascii="宋体" w:hAnsi="宋体" w:cs="宋体"/>
          <w:b/>
          <w:bCs/>
          <w:color w:val="auto"/>
          <w:sz w:val="28"/>
          <w:szCs w:val="28"/>
          <w:highlight w:val="none"/>
        </w:rPr>
      </w:pPr>
    </w:p>
    <w:p>
      <w:pPr>
        <w:pStyle w:val="14"/>
        <w:rPr>
          <w:rFonts w:hint="eastAsia" w:ascii="宋体" w:hAnsi="宋体" w:cs="宋体"/>
          <w:b/>
          <w:bCs/>
          <w:color w:val="auto"/>
          <w:sz w:val="28"/>
          <w:szCs w:val="28"/>
          <w:highlight w:val="none"/>
        </w:rPr>
      </w:pPr>
    </w:p>
    <w:p>
      <w:pPr>
        <w:rPr>
          <w:rFonts w:hint="eastAsia" w:ascii="宋体" w:hAnsi="宋体" w:cs="宋体"/>
          <w:b/>
          <w:bCs/>
          <w:color w:val="auto"/>
          <w:sz w:val="28"/>
          <w:szCs w:val="28"/>
          <w:highlight w:val="none"/>
        </w:rPr>
      </w:pPr>
    </w:p>
    <w:p>
      <w:pPr>
        <w:pStyle w:val="14"/>
        <w:rPr>
          <w:rFonts w:hint="eastAsia" w:ascii="宋体" w:hAnsi="宋体" w:cs="宋体"/>
          <w:b/>
          <w:bCs/>
          <w:color w:val="auto"/>
          <w:sz w:val="28"/>
          <w:szCs w:val="28"/>
          <w:highlight w:val="none"/>
        </w:rPr>
      </w:pPr>
    </w:p>
    <w:p>
      <w:pPr>
        <w:rPr>
          <w:rFonts w:hint="eastAsia" w:ascii="宋体" w:hAnsi="宋体" w:cs="宋体"/>
          <w:b/>
          <w:bCs/>
          <w:color w:val="auto"/>
          <w:sz w:val="28"/>
          <w:szCs w:val="28"/>
          <w:highlight w:val="none"/>
        </w:rPr>
      </w:pPr>
    </w:p>
    <w:p>
      <w:pPr>
        <w:pStyle w:val="14"/>
        <w:rPr>
          <w:rFonts w:hint="eastAsia" w:ascii="宋体" w:hAnsi="宋体" w:cs="宋体"/>
          <w:b/>
          <w:bCs/>
          <w:color w:val="auto"/>
          <w:sz w:val="28"/>
          <w:szCs w:val="28"/>
          <w:highlight w:val="none"/>
        </w:rPr>
      </w:pPr>
    </w:p>
    <w:p>
      <w:pPr>
        <w:rPr>
          <w:rFonts w:hint="eastAsia" w:ascii="宋体" w:hAnsi="宋体" w:cs="宋体"/>
          <w:b/>
          <w:bCs/>
          <w:color w:val="auto"/>
          <w:sz w:val="28"/>
          <w:szCs w:val="28"/>
          <w:highlight w:val="none"/>
        </w:rPr>
      </w:pPr>
    </w:p>
    <w:bookmarkEnd w:id="857"/>
    <w:bookmarkEnd w:id="858"/>
    <w:bookmarkEnd w:id="859"/>
    <w:bookmarkEnd w:id="860"/>
    <w:p>
      <w:pPr>
        <w:rPr>
          <w:rFonts w:hint="eastAsia" w:ascii="宋体" w:hAnsi="宋体" w:cs="宋体"/>
          <w:bCs/>
          <w:color w:val="auto"/>
          <w:sz w:val="24"/>
          <w:highlight w:val="none"/>
        </w:rPr>
      </w:pPr>
      <w:bookmarkStart w:id="887" w:name="_Toc95223487"/>
      <w:bookmarkStart w:id="888" w:name="_Toc144974855"/>
      <w:bookmarkStart w:id="889" w:name="_Toc246996354"/>
      <w:bookmarkStart w:id="890" w:name="_Toc152042575"/>
      <w:bookmarkStart w:id="891" w:name="_Toc78803398"/>
      <w:bookmarkStart w:id="892" w:name="_Toc247085872"/>
      <w:bookmarkStart w:id="893" w:name="_Toc35424970"/>
      <w:bookmarkStart w:id="894" w:name="_Toc324404888"/>
      <w:bookmarkStart w:id="895" w:name="_Toc246997097"/>
      <w:bookmarkStart w:id="896" w:name="_Toc152045786"/>
      <w:bookmarkStart w:id="897" w:name="_Toc15058934"/>
      <w:bookmarkStart w:id="898" w:name="_Toc35425136"/>
      <w:bookmarkStart w:id="899" w:name="_Toc506107340"/>
      <w:bookmarkStart w:id="900" w:name="_Toc179632806"/>
      <w:r>
        <w:rPr>
          <w:rFonts w:hint="eastAsia" w:ascii="宋体" w:hAnsi="宋体" w:cs="宋体"/>
          <w:bCs/>
          <w:color w:val="auto"/>
          <w:sz w:val="24"/>
          <w:highlight w:val="none"/>
        </w:rPr>
        <w:br w:type="page"/>
      </w:r>
    </w:p>
    <w:p>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sz w:val="24"/>
          <w:highlight w:val="none"/>
        </w:rPr>
        <w:t>附</w:t>
      </w:r>
      <w:bookmarkStart w:id="901" w:name="_Toc296346726"/>
      <w:bookmarkStart w:id="902" w:name="_Toc296891053"/>
      <w:bookmarkStart w:id="903" w:name="_Toc296944564"/>
      <w:bookmarkStart w:id="904" w:name="_Toc267261692"/>
      <w:bookmarkStart w:id="905" w:name="_Toc296891265"/>
      <w:bookmarkStart w:id="906" w:name="_Toc296503225"/>
      <w:bookmarkStart w:id="907" w:name="_Toc296347224"/>
      <w:r>
        <w:rPr>
          <w:rFonts w:hint="eastAsia" w:ascii="宋体" w:hAnsi="宋体" w:cs="宋体"/>
          <w:bCs/>
          <w:color w:val="auto"/>
          <w:sz w:val="24"/>
          <w:highlight w:val="none"/>
        </w:rPr>
        <w:t>件</w:t>
      </w: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rPr>
        <w:t>：发包人供应材料设备一览表</w:t>
      </w:r>
      <w:bookmarkEnd w:id="887"/>
    </w:p>
    <w:bookmarkEnd w:id="901"/>
    <w:bookmarkEnd w:id="902"/>
    <w:bookmarkEnd w:id="903"/>
    <w:bookmarkEnd w:id="904"/>
    <w:bookmarkEnd w:id="905"/>
    <w:bookmarkEnd w:id="906"/>
    <w:bookmarkEnd w:id="907"/>
    <w:p>
      <w:pPr>
        <w:spacing w:line="360" w:lineRule="auto"/>
        <w:jc w:val="center"/>
        <w:rPr>
          <w:rFonts w:hint="eastAsia" w:ascii="宋体" w:hAnsi="宋体" w:cs="宋体"/>
          <w:color w:val="auto"/>
          <w:sz w:val="22"/>
          <w:szCs w:val="21"/>
          <w:highlight w:val="none"/>
        </w:rPr>
      </w:pPr>
      <w:r>
        <w:rPr>
          <w:rFonts w:hint="eastAsia" w:ascii="宋体" w:hAnsi="宋体" w:cs="宋体"/>
          <w:color w:val="auto"/>
          <w:sz w:val="22"/>
          <w:szCs w:val="21"/>
          <w:highlight w:val="none"/>
        </w:rPr>
        <w:t>发包人供应材料设备一览表</w:t>
      </w:r>
    </w:p>
    <w:tbl>
      <w:tblPr>
        <w:tblStyle w:val="46"/>
        <w:tblW w:w="965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082"/>
        <w:gridCol w:w="940"/>
        <w:gridCol w:w="851"/>
        <w:gridCol w:w="1044"/>
        <w:gridCol w:w="992"/>
        <w:gridCol w:w="851"/>
        <w:gridCol w:w="966"/>
        <w:gridCol w:w="8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51"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序号</w:t>
            </w:r>
          </w:p>
        </w:tc>
        <w:tc>
          <w:tcPr>
            <w:tcW w:w="1276"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材料、设备品种</w:t>
            </w:r>
          </w:p>
        </w:tc>
        <w:tc>
          <w:tcPr>
            <w:tcW w:w="1082"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规格型号</w:t>
            </w:r>
          </w:p>
        </w:tc>
        <w:tc>
          <w:tcPr>
            <w:tcW w:w="940"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单位</w:t>
            </w:r>
          </w:p>
        </w:tc>
        <w:tc>
          <w:tcPr>
            <w:tcW w:w="851"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数量</w:t>
            </w:r>
          </w:p>
        </w:tc>
        <w:tc>
          <w:tcPr>
            <w:tcW w:w="1044"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单价（元）</w:t>
            </w:r>
          </w:p>
        </w:tc>
        <w:tc>
          <w:tcPr>
            <w:tcW w:w="992"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质量等级</w:t>
            </w:r>
          </w:p>
        </w:tc>
        <w:tc>
          <w:tcPr>
            <w:tcW w:w="851"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供应时间</w:t>
            </w:r>
          </w:p>
        </w:tc>
        <w:tc>
          <w:tcPr>
            <w:tcW w:w="966"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送达地点</w:t>
            </w:r>
          </w:p>
        </w:tc>
        <w:tc>
          <w:tcPr>
            <w:tcW w:w="803" w:type="dxa"/>
            <w:tcBorders>
              <w:top w:val="single" w:color="auto" w:sz="12" w:space="0"/>
              <w:bottom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r>
              <w:rPr>
                <w:rFonts w:hint="eastAsia" w:ascii="宋体" w:hAnsi="宋体" w:cs="宋体"/>
                <w:color w:val="auto"/>
                <w:sz w:val="22"/>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1276"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1082"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940"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851"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1044"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992"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851"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966"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c>
          <w:tcPr>
            <w:tcW w:w="803" w:type="dxa"/>
            <w:tcBorders>
              <w:top w:val="double" w:color="auto" w:sz="6" w:space="0"/>
            </w:tcBorders>
            <w:noWrap w:val="0"/>
            <w:vAlign w:val="center"/>
          </w:tcPr>
          <w:p>
            <w:pPr>
              <w:keepNext/>
              <w:snapToGrid w:val="0"/>
              <w:spacing w:line="360" w:lineRule="auto"/>
              <w:rPr>
                <w:rFonts w:hint="eastAsia" w:ascii="宋体" w:hAnsi="宋体" w:cs="宋体"/>
                <w:color w:val="auto"/>
                <w:sz w:val="2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pPr>
              <w:snapToGrid w:val="0"/>
              <w:spacing w:line="360" w:lineRule="auto"/>
              <w:rPr>
                <w:rFonts w:hint="eastAsia" w:ascii="宋体" w:hAnsi="宋体" w:cs="宋体"/>
                <w:color w:val="auto"/>
                <w:sz w:val="22"/>
                <w:szCs w:val="21"/>
                <w:highlight w:val="none"/>
              </w:rPr>
            </w:pPr>
          </w:p>
        </w:tc>
        <w:tc>
          <w:tcPr>
            <w:tcW w:w="1276" w:type="dxa"/>
            <w:noWrap w:val="0"/>
            <w:vAlign w:val="center"/>
          </w:tcPr>
          <w:p>
            <w:pPr>
              <w:snapToGrid w:val="0"/>
              <w:spacing w:line="360" w:lineRule="auto"/>
              <w:rPr>
                <w:rFonts w:hint="eastAsia" w:ascii="宋体" w:hAnsi="宋体" w:cs="宋体"/>
                <w:color w:val="auto"/>
                <w:sz w:val="22"/>
                <w:szCs w:val="21"/>
                <w:highlight w:val="none"/>
              </w:rPr>
            </w:pPr>
          </w:p>
        </w:tc>
        <w:tc>
          <w:tcPr>
            <w:tcW w:w="1082" w:type="dxa"/>
            <w:noWrap w:val="0"/>
            <w:vAlign w:val="center"/>
          </w:tcPr>
          <w:p>
            <w:pPr>
              <w:snapToGrid w:val="0"/>
              <w:spacing w:line="360" w:lineRule="auto"/>
              <w:rPr>
                <w:rFonts w:hint="eastAsia" w:ascii="宋体" w:hAnsi="宋体" w:cs="宋体"/>
                <w:color w:val="auto"/>
                <w:sz w:val="22"/>
                <w:szCs w:val="21"/>
                <w:highlight w:val="none"/>
              </w:rPr>
            </w:pPr>
          </w:p>
        </w:tc>
        <w:tc>
          <w:tcPr>
            <w:tcW w:w="940" w:type="dxa"/>
            <w:noWrap w:val="0"/>
            <w:vAlign w:val="center"/>
          </w:tcPr>
          <w:p>
            <w:pPr>
              <w:snapToGrid w:val="0"/>
              <w:spacing w:line="360" w:lineRule="auto"/>
              <w:rPr>
                <w:rFonts w:hint="eastAsia" w:ascii="宋体" w:hAnsi="宋体" w:cs="宋体"/>
                <w:color w:val="auto"/>
                <w:sz w:val="22"/>
                <w:szCs w:val="21"/>
                <w:highlight w:val="none"/>
              </w:rPr>
            </w:pPr>
          </w:p>
        </w:tc>
        <w:tc>
          <w:tcPr>
            <w:tcW w:w="851" w:type="dxa"/>
            <w:noWrap w:val="0"/>
            <w:vAlign w:val="center"/>
          </w:tcPr>
          <w:p>
            <w:pPr>
              <w:snapToGrid w:val="0"/>
              <w:spacing w:line="360" w:lineRule="auto"/>
              <w:rPr>
                <w:rFonts w:hint="eastAsia" w:ascii="宋体" w:hAnsi="宋体" w:cs="宋体"/>
                <w:color w:val="auto"/>
                <w:sz w:val="22"/>
                <w:szCs w:val="21"/>
                <w:highlight w:val="none"/>
              </w:rPr>
            </w:pPr>
          </w:p>
        </w:tc>
        <w:tc>
          <w:tcPr>
            <w:tcW w:w="1044" w:type="dxa"/>
            <w:noWrap w:val="0"/>
            <w:vAlign w:val="center"/>
          </w:tcPr>
          <w:p>
            <w:pPr>
              <w:snapToGrid w:val="0"/>
              <w:spacing w:line="360" w:lineRule="auto"/>
              <w:rPr>
                <w:rFonts w:hint="eastAsia" w:ascii="宋体" w:hAnsi="宋体" w:cs="宋体"/>
                <w:color w:val="auto"/>
                <w:sz w:val="22"/>
                <w:szCs w:val="21"/>
                <w:highlight w:val="none"/>
              </w:rPr>
            </w:pPr>
          </w:p>
        </w:tc>
        <w:tc>
          <w:tcPr>
            <w:tcW w:w="992" w:type="dxa"/>
            <w:noWrap w:val="0"/>
            <w:vAlign w:val="center"/>
          </w:tcPr>
          <w:p>
            <w:pPr>
              <w:snapToGrid w:val="0"/>
              <w:spacing w:line="360" w:lineRule="auto"/>
              <w:rPr>
                <w:rFonts w:hint="eastAsia" w:ascii="宋体" w:hAnsi="宋体" w:cs="宋体"/>
                <w:color w:val="auto"/>
                <w:sz w:val="22"/>
                <w:szCs w:val="21"/>
                <w:highlight w:val="none"/>
              </w:rPr>
            </w:pPr>
          </w:p>
        </w:tc>
        <w:tc>
          <w:tcPr>
            <w:tcW w:w="851" w:type="dxa"/>
            <w:noWrap w:val="0"/>
            <w:vAlign w:val="center"/>
          </w:tcPr>
          <w:p>
            <w:pPr>
              <w:snapToGrid w:val="0"/>
              <w:spacing w:line="360" w:lineRule="auto"/>
              <w:rPr>
                <w:rFonts w:hint="eastAsia" w:ascii="宋体" w:hAnsi="宋体" w:cs="宋体"/>
                <w:color w:val="auto"/>
                <w:sz w:val="22"/>
                <w:szCs w:val="21"/>
                <w:highlight w:val="none"/>
              </w:rPr>
            </w:pPr>
          </w:p>
        </w:tc>
        <w:tc>
          <w:tcPr>
            <w:tcW w:w="966" w:type="dxa"/>
            <w:noWrap w:val="0"/>
            <w:vAlign w:val="center"/>
          </w:tcPr>
          <w:p>
            <w:pPr>
              <w:snapToGrid w:val="0"/>
              <w:spacing w:line="360" w:lineRule="auto"/>
              <w:rPr>
                <w:rFonts w:hint="eastAsia" w:ascii="宋体" w:hAnsi="宋体" w:cs="宋体"/>
                <w:color w:val="auto"/>
                <w:sz w:val="22"/>
                <w:szCs w:val="21"/>
                <w:highlight w:val="none"/>
              </w:rPr>
            </w:pPr>
          </w:p>
        </w:tc>
        <w:tc>
          <w:tcPr>
            <w:tcW w:w="803" w:type="dxa"/>
            <w:noWrap w:val="0"/>
            <w:vAlign w:val="center"/>
          </w:tcPr>
          <w:p>
            <w:pPr>
              <w:snapToGrid w:val="0"/>
              <w:spacing w:line="360" w:lineRule="auto"/>
              <w:rPr>
                <w:rFonts w:hint="eastAsia" w:ascii="宋体" w:hAnsi="宋体" w:cs="宋体"/>
                <w:color w:val="auto"/>
                <w:sz w:val="2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1276"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1082"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940"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851"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1044"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992"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851"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966"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c>
          <w:tcPr>
            <w:tcW w:w="803" w:type="dxa"/>
            <w:tcBorders>
              <w:bottom w:val="single" w:color="auto" w:sz="12" w:space="0"/>
            </w:tcBorders>
            <w:noWrap w:val="0"/>
            <w:vAlign w:val="center"/>
          </w:tcPr>
          <w:p>
            <w:pPr>
              <w:snapToGrid w:val="0"/>
              <w:spacing w:line="360" w:lineRule="auto"/>
              <w:rPr>
                <w:rFonts w:hint="eastAsia" w:ascii="宋体" w:hAnsi="宋体" w:cs="宋体"/>
                <w:color w:val="auto"/>
                <w:sz w:val="22"/>
                <w:szCs w:val="21"/>
                <w:highlight w:val="none"/>
              </w:rPr>
            </w:pPr>
          </w:p>
        </w:tc>
      </w:tr>
    </w:tbl>
    <w:p>
      <w:pPr>
        <w:pStyle w:val="14"/>
        <w:rPr>
          <w:rFonts w:hint="eastAsia"/>
          <w:color w:val="auto"/>
          <w:highlight w:val="none"/>
        </w:rPr>
      </w:pPr>
    </w:p>
    <w:p>
      <w:pPr>
        <w:keepNext/>
        <w:keepLines/>
        <w:spacing w:before="120" w:after="120" w:line="360" w:lineRule="auto"/>
        <w:jc w:val="left"/>
        <w:outlineLvl w:val="2"/>
        <w:rPr>
          <w:rFonts w:hint="eastAsia" w:ascii="宋体" w:hAnsi="宋体" w:cs="宋体"/>
          <w:bCs/>
          <w:color w:val="auto"/>
          <w:sz w:val="24"/>
          <w:highlight w:val="none"/>
        </w:rPr>
      </w:pPr>
      <w:bookmarkStart w:id="908" w:name="_Toc95223490"/>
      <w:r>
        <w:rPr>
          <w:rFonts w:hint="eastAsia" w:ascii="宋体" w:hAnsi="宋体" w:cs="宋体"/>
          <w:bCs/>
          <w:color w:val="auto"/>
          <w:sz w:val="24"/>
          <w:highlight w:val="none"/>
        </w:rPr>
        <w:t>附</w:t>
      </w:r>
      <w:bookmarkStart w:id="909" w:name="_Toc267261693"/>
      <w:bookmarkStart w:id="910" w:name="_Toc296503226"/>
      <w:bookmarkStart w:id="911" w:name="_Toc296944565"/>
      <w:bookmarkStart w:id="912" w:name="_Toc296346727"/>
      <w:bookmarkStart w:id="913" w:name="_Toc296347225"/>
      <w:bookmarkStart w:id="914" w:name="_Toc296891054"/>
      <w:bookmarkStart w:id="915" w:name="_Toc296891266"/>
      <w:r>
        <w:rPr>
          <w:rFonts w:hint="eastAsia" w:ascii="宋体" w:hAnsi="宋体" w:cs="宋体"/>
          <w:bCs/>
          <w:color w:val="auto"/>
          <w:sz w:val="24"/>
          <w:highlight w:val="none"/>
        </w:rPr>
        <w:t>件</w:t>
      </w: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w:t>
      </w:r>
      <w:bookmarkEnd w:id="909"/>
      <w:bookmarkEnd w:id="910"/>
      <w:bookmarkEnd w:id="911"/>
      <w:bookmarkEnd w:id="912"/>
      <w:bookmarkEnd w:id="913"/>
      <w:bookmarkEnd w:id="914"/>
      <w:bookmarkEnd w:id="915"/>
      <w:r>
        <w:rPr>
          <w:rFonts w:hint="eastAsia" w:ascii="宋体" w:hAnsi="宋体" w:cs="宋体"/>
          <w:bCs/>
          <w:color w:val="auto"/>
          <w:sz w:val="24"/>
          <w:highlight w:val="none"/>
        </w:rPr>
        <w:t>工程质量保修书</w:t>
      </w:r>
    </w:p>
    <w:p>
      <w:pPr>
        <w:adjustRightInd w:val="0"/>
        <w:snapToGrid w:val="0"/>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工程质量保修书</w:t>
      </w:r>
    </w:p>
    <w:p>
      <w:pPr>
        <w:adjustRightInd w:val="0"/>
        <w:snapToGrid w:val="0"/>
        <w:spacing w:line="360" w:lineRule="auto"/>
        <w:ind w:firstLine="420" w:firstLineChars="200"/>
        <w:rPr>
          <w:rFonts w:hint="eastAsia" w:ascii="宋体" w:hAnsi="宋体" w:cs="宋体"/>
          <w:color w:val="auto"/>
          <w:kern w:val="0"/>
          <w:position w:val="14"/>
          <w:szCs w:val="21"/>
          <w:highlight w:val="none"/>
        </w:rPr>
      </w:pPr>
      <w:r>
        <w:rPr>
          <w:rFonts w:hint="eastAsia" w:ascii="宋体" w:hAnsi="宋体" w:cs="宋体"/>
          <w:bCs/>
          <w:color w:val="auto"/>
          <w:kern w:val="0"/>
          <w:position w:val="14"/>
          <w:szCs w:val="21"/>
          <w:highlight w:val="none"/>
        </w:rPr>
        <w:t>发包人</w:t>
      </w:r>
      <w:r>
        <w:rPr>
          <w:rFonts w:hint="eastAsia" w:ascii="宋体" w:hAnsi="宋体" w:cs="宋体"/>
          <w:color w:val="auto"/>
          <w:kern w:val="0"/>
          <w:position w:val="14"/>
          <w:szCs w:val="21"/>
          <w:highlight w:val="none"/>
        </w:rPr>
        <w:t>：_______________________________</w:t>
      </w:r>
    </w:p>
    <w:p>
      <w:pPr>
        <w:widowControl/>
        <w:adjustRightInd w:val="0"/>
        <w:snapToGrid w:val="0"/>
        <w:spacing w:line="360" w:lineRule="auto"/>
        <w:ind w:firstLine="420" w:firstLineChars="200"/>
        <w:jc w:val="left"/>
        <w:rPr>
          <w:rFonts w:hint="eastAsia" w:ascii="宋体" w:hAnsi="宋体" w:cs="宋体"/>
          <w:color w:val="auto"/>
          <w:kern w:val="0"/>
          <w:position w:val="14"/>
          <w:szCs w:val="21"/>
          <w:highlight w:val="none"/>
        </w:rPr>
      </w:pPr>
      <w:r>
        <w:rPr>
          <w:rFonts w:hint="eastAsia" w:ascii="宋体" w:hAnsi="宋体" w:cs="宋体"/>
          <w:bCs/>
          <w:color w:val="auto"/>
          <w:kern w:val="0"/>
          <w:position w:val="14"/>
          <w:szCs w:val="21"/>
          <w:highlight w:val="none"/>
        </w:rPr>
        <w:t>承包人</w:t>
      </w:r>
      <w:r>
        <w:rPr>
          <w:rFonts w:hint="eastAsia" w:ascii="宋体" w:hAnsi="宋体" w:cs="宋体"/>
          <w:color w:val="auto"/>
          <w:kern w:val="0"/>
          <w:position w:val="14"/>
          <w:szCs w:val="21"/>
          <w:highlight w:val="none"/>
        </w:rPr>
        <w:t>：_______________________________</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发包人、承包人根据《中华人民共和国建筑法》《建设工程质量管理条例》,参照《房屋建筑工程质量保修办法》，经协商一致，对______________________工程签订工程质量保修书。</w:t>
      </w:r>
    </w:p>
    <w:p>
      <w:pPr>
        <w:widowControl/>
        <w:adjustRightInd w:val="0"/>
        <w:snapToGrid w:val="0"/>
        <w:spacing w:line="360" w:lineRule="auto"/>
        <w:ind w:firstLine="422" w:firstLineChars="200"/>
        <w:jc w:val="left"/>
        <w:rPr>
          <w:rFonts w:hint="eastAsia" w:ascii="宋体" w:hAnsi="宋体" w:cs="宋体"/>
          <w:b/>
          <w:bCs/>
          <w:color w:val="auto"/>
          <w:kern w:val="0"/>
          <w:position w:val="6"/>
          <w:szCs w:val="21"/>
          <w:highlight w:val="none"/>
        </w:rPr>
      </w:pPr>
      <w:r>
        <w:rPr>
          <w:rFonts w:hint="eastAsia" w:ascii="宋体" w:hAnsi="宋体" w:cs="宋体"/>
          <w:b/>
          <w:bCs/>
          <w:color w:val="auto"/>
          <w:kern w:val="0"/>
          <w:position w:val="6"/>
          <w:szCs w:val="21"/>
          <w:highlight w:val="none"/>
        </w:rPr>
        <w:t>一、工程质量保修范围和内容</w:t>
      </w:r>
    </w:p>
    <w:p>
      <w:pPr>
        <w:adjustRightInd w:val="0"/>
        <w:snapToGrid w:val="0"/>
        <w:spacing w:line="360" w:lineRule="auto"/>
        <w:ind w:firstLine="420" w:firstLineChars="200"/>
        <w:jc w:val="left"/>
        <w:rPr>
          <w:rFonts w:hint="eastAsia" w:ascii="宋体" w:hAnsi="宋体" w:cs="宋体"/>
          <w:color w:val="auto"/>
          <w:position w:val="6"/>
          <w:szCs w:val="21"/>
          <w:highlight w:val="none"/>
        </w:rPr>
      </w:pPr>
      <w:r>
        <w:rPr>
          <w:rFonts w:hint="eastAsia" w:ascii="宋体" w:hAnsi="宋体" w:cs="宋体"/>
          <w:color w:val="auto"/>
          <w:position w:val="6"/>
          <w:szCs w:val="21"/>
          <w:highlight w:val="none"/>
        </w:rPr>
        <w:t>按照《建设工程质量管理条例》及有关法律、法规、规章的管理规定，双方约定由施工单位在质量保修期内，承担本工程的质量保修责任。</w:t>
      </w:r>
    </w:p>
    <w:p>
      <w:pPr>
        <w:adjustRightInd w:val="0"/>
        <w:snapToGrid w:val="0"/>
        <w:spacing w:line="360" w:lineRule="auto"/>
        <w:ind w:firstLine="420" w:firstLineChars="200"/>
        <w:jc w:val="left"/>
        <w:rPr>
          <w:rFonts w:hint="eastAsia" w:ascii="宋体" w:hAnsi="宋体" w:cs="宋体"/>
          <w:color w:val="auto"/>
          <w:position w:val="6"/>
          <w:szCs w:val="21"/>
          <w:highlight w:val="none"/>
        </w:rPr>
      </w:pPr>
      <w:r>
        <w:rPr>
          <w:rFonts w:hint="eastAsia" w:ascii="宋体" w:hAnsi="宋体" w:cs="宋体"/>
          <w:color w:val="auto"/>
          <w:position w:val="6"/>
          <w:szCs w:val="21"/>
          <w:highlight w:val="none"/>
        </w:rPr>
        <w:t>质量保修范围和内容：______________________。</w:t>
      </w:r>
      <w:r>
        <w:rPr>
          <w:rFonts w:hint="eastAsia" w:ascii="宋体" w:hAnsi="宋体" w:cs="宋体"/>
          <w:bCs/>
          <w:color w:val="auto"/>
          <w:kern w:val="0"/>
          <w:position w:val="6"/>
          <w:szCs w:val="21"/>
          <w:highlight w:val="none"/>
        </w:rPr>
        <w:t>因不可抗力或使用不当造成的质量缺陷，不属保修范围。</w:t>
      </w:r>
    </w:p>
    <w:p>
      <w:pPr>
        <w:widowControl/>
        <w:adjustRightInd w:val="0"/>
        <w:snapToGrid w:val="0"/>
        <w:spacing w:line="360" w:lineRule="auto"/>
        <w:ind w:firstLine="422" w:firstLineChars="200"/>
        <w:jc w:val="left"/>
        <w:rPr>
          <w:rFonts w:hint="eastAsia" w:ascii="宋体" w:hAnsi="宋体" w:cs="宋体"/>
          <w:b/>
          <w:bCs/>
          <w:color w:val="auto"/>
          <w:kern w:val="0"/>
          <w:position w:val="6"/>
          <w:szCs w:val="21"/>
          <w:highlight w:val="none"/>
        </w:rPr>
      </w:pPr>
      <w:r>
        <w:rPr>
          <w:rFonts w:hint="eastAsia" w:ascii="宋体" w:hAnsi="宋体" w:cs="宋体"/>
          <w:b/>
          <w:bCs/>
          <w:color w:val="auto"/>
          <w:kern w:val="0"/>
          <w:position w:val="6"/>
          <w:szCs w:val="21"/>
          <w:highlight w:val="none"/>
        </w:rPr>
        <w:t>二、质量保修期</w:t>
      </w:r>
    </w:p>
    <w:p>
      <w:pPr>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双方根据</w:t>
      </w:r>
      <w:r>
        <w:rPr>
          <w:rFonts w:hint="eastAsia" w:ascii="宋体" w:hAnsi="宋体" w:cs="宋体"/>
          <w:color w:val="auto"/>
          <w:position w:val="6"/>
          <w:szCs w:val="21"/>
          <w:highlight w:val="none"/>
        </w:rPr>
        <w:t>《建设工程质量管理条例》</w:t>
      </w:r>
      <w:r>
        <w:rPr>
          <w:rFonts w:hint="eastAsia" w:ascii="宋体" w:hAnsi="宋体" w:cs="宋体"/>
          <w:color w:val="auto"/>
          <w:kern w:val="0"/>
          <w:position w:val="6"/>
          <w:szCs w:val="21"/>
          <w:highlight w:val="none"/>
        </w:rPr>
        <w:t>及有关规定，约定本工程的质量保修期如下：</w:t>
      </w:r>
    </w:p>
    <w:p>
      <w:pPr>
        <w:widowControl/>
        <w:adjustRightInd w:val="0"/>
        <w:snapToGrid w:val="0"/>
        <w:spacing w:line="360" w:lineRule="auto"/>
        <w:ind w:left="420" w:leftChars="200" w:firstLine="58" w:firstLineChars="28"/>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1. 主体结构和基础工程，</w:t>
      </w:r>
      <w:r>
        <w:rPr>
          <w:rFonts w:hint="eastAsia" w:ascii="宋体" w:hAnsi="宋体" w:cs="宋体"/>
          <w:color w:val="auto"/>
          <w:kern w:val="0"/>
          <w:position w:val="6"/>
          <w:szCs w:val="21"/>
          <w:highlight w:val="none"/>
          <w:lang w:val="en-US" w:eastAsia="zh-CN"/>
        </w:rPr>
        <w:t>同设计年限</w:t>
      </w:r>
      <w:r>
        <w:rPr>
          <w:rFonts w:hint="eastAsia" w:ascii="宋体" w:hAnsi="宋体" w:cs="宋体"/>
          <w:color w:val="auto"/>
          <w:kern w:val="0"/>
          <w:position w:val="6"/>
          <w:szCs w:val="21"/>
          <w:highlight w:val="none"/>
        </w:rPr>
        <w:t>；</w:t>
      </w:r>
    </w:p>
    <w:p>
      <w:pPr>
        <w:widowControl/>
        <w:adjustRightInd w:val="0"/>
        <w:snapToGrid w:val="0"/>
        <w:spacing w:line="360" w:lineRule="auto"/>
        <w:ind w:left="420" w:leftChars="200" w:firstLine="58" w:firstLineChars="28"/>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2. _</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lang w:val="en-US" w:eastAsia="zh-CN"/>
        </w:rPr>
        <w:t>签订合同时约定</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rPr>
        <w:t>_工程，为</w:t>
      </w:r>
      <w:r>
        <w:rPr>
          <w:rFonts w:hint="eastAsia" w:ascii="宋体" w:hAnsi="宋体" w:cs="宋体"/>
          <w:color w:val="auto"/>
          <w:kern w:val="0"/>
          <w:position w:val="6"/>
          <w:szCs w:val="21"/>
          <w:highlight w:val="none"/>
          <w:u w:val="single"/>
        </w:rPr>
        <w:t xml:space="preserve">     </w:t>
      </w:r>
      <w:r>
        <w:rPr>
          <w:rFonts w:hint="eastAsia" w:ascii="宋体" w:hAnsi="宋体" w:cs="宋体"/>
          <w:color w:val="auto"/>
          <w:kern w:val="0"/>
          <w:position w:val="6"/>
          <w:szCs w:val="21"/>
          <w:highlight w:val="none"/>
        </w:rPr>
        <w:t>年；</w:t>
      </w:r>
    </w:p>
    <w:p>
      <w:pPr>
        <w:widowControl/>
        <w:adjustRightInd w:val="0"/>
        <w:snapToGrid w:val="0"/>
        <w:spacing w:line="360" w:lineRule="auto"/>
        <w:ind w:left="420" w:leftChars="200" w:firstLine="58" w:firstLineChars="28"/>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3. __</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lang w:val="en-US" w:eastAsia="zh-CN"/>
        </w:rPr>
        <w:t>签订合同时约定</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rPr>
        <w:t>工程，为</w:t>
      </w:r>
      <w:r>
        <w:rPr>
          <w:rFonts w:hint="eastAsia" w:ascii="宋体" w:hAnsi="宋体" w:cs="宋体"/>
          <w:color w:val="auto"/>
          <w:kern w:val="0"/>
          <w:position w:val="6"/>
          <w:szCs w:val="21"/>
          <w:highlight w:val="none"/>
          <w:u w:val="single"/>
        </w:rPr>
        <w:t xml:space="preserve">     </w:t>
      </w:r>
      <w:r>
        <w:rPr>
          <w:rFonts w:hint="eastAsia" w:ascii="宋体" w:hAnsi="宋体" w:cs="宋体"/>
          <w:color w:val="auto"/>
          <w:kern w:val="0"/>
          <w:position w:val="6"/>
          <w:szCs w:val="21"/>
          <w:highlight w:val="none"/>
        </w:rPr>
        <w:t>年；</w:t>
      </w:r>
    </w:p>
    <w:p>
      <w:pPr>
        <w:adjustRightInd w:val="0"/>
        <w:snapToGrid w:val="0"/>
        <w:spacing w:line="360" w:lineRule="auto"/>
        <w:ind w:left="359" w:leftChars="171" w:firstLine="105" w:firstLineChars="50"/>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4. _</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lang w:val="en-US" w:eastAsia="zh-CN"/>
        </w:rPr>
        <w:t>签订合同时约定</w:t>
      </w:r>
      <w:r>
        <w:rPr>
          <w:rFonts w:hint="eastAsia" w:ascii="宋体" w:hAnsi="宋体" w:cs="宋体"/>
          <w:color w:val="auto"/>
          <w:kern w:val="0"/>
          <w:position w:val="6"/>
          <w:szCs w:val="21"/>
          <w:highlight w:val="none"/>
          <w:lang w:eastAsia="zh-CN"/>
        </w:rPr>
        <w:t>）</w:t>
      </w:r>
      <w:r>
        <w:rPr>
          <w:rFonts w:hint="eastAsia" w:ascii="宋体" w:hAnsi="宋体" w:cs="宋体"/>
          <w:color w:val="auto"/>
          <w:kern w:val="0"/>
          <w:position w:val="6"/>
          <w:szCs w:val="21"/>
          <w:highlight w:val="none"/>
        </w:rPr>
        <w:t xml:space="preserve">_工程，为 </w:t>
      </w:r>
      <w:r>
        <w:rPr>
          <w:rFonts w:hint="eastAsia" w:ascii="宋体" w:hAnsi="宋体" w:cs="宋体"/>
          <w:color w:val="auto"/>
          <w:kern w:val="0"/>
          <w:position w:val="6"/>
          <w:szCs w:val="21"/>
          <w:highlight w:val="none"/>
          <w:u w:val="single"/>
        </w:rPr>
        <w:t xml:space="preserve">     </w:t>
      </w:r>
      <w:r>
        <w:rPr>
          <w:rFonts w:hint="eastAsia" w:ascii="宋体" w:hAnsi="宋体" w:cs="宋体"/>
          <w:color w:val="auto"/>
          <w:kern w:val="0"/>
          <w:position w:val="6"/>
          <w:szCs w:val="21"/>
          <w:highlight w:val="none"/>
        </w:rPr>
        <w:t>年；</w:t>
      </w:r>
      <w:r>
        <w:rPr>
          <w:rFonts w:hint="eastAsia" w:ascii="宋体" w:hAnsi="宋体" w:cs="宋体"/>
          <w:color w:val="auto"/>
          <w:kern w:val="0"/>
          <w:position w:val="6"/>
          <w:szCs w:val="21"/>
          <w:highlight w:val="none"/>
        </w:rPr>
        <w:br w:type="textWrapping"/>
      </w:r>
      <w:r>
        <w:rPr>
          <w:rFonts w:hint="eastAsia" w:ascii="宋体" w:hAnsi="宋体" w:cs="宋体"/>
          <w:color w:val="auto"/>
          <w:kern w:val="0"/>
          <w:position w:val="6"/>
          <w:szCs w:val="21"/>
          <w:highlight w:val="none"/>
        </w:rPr>
        <w:t>质量保修期自工程竣工验收合格之日起计算。</w:t>
      </w:r>
    </w:p>
    <w:p>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三、缺陷责任期</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24个月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widowControl/>
        <w:adjustRightInd w:val="0"/>
        <w:snapToGrid w:val="0"/>
        <w:spacing w:line="360" w:lineRule="auto"/>
        <w:ind w:firstLine="422" w:firstLineChars="200"/>
        <w:jc w:val="left"/>
        <w:rPr>
          <w:rFonts w:hint="eastAsia" w:ascii="宋体" w:hAnsi="宋体" w:cs="宋体"/>
          <w:b/>
          <w:bCs/>
          <w:color w:val="auto"/>
          <w:kern w:val="0"/>
          <w:position w:val="6"/>
          <w:szCs w:val="21"/>
          <w:highlight w:val="none"/>
        </w:rPr>
      </w:pPr>
      <w:r>
        <w:rPr>
          <w:rFonts w:hint="eastAsia" w:ascii="宋体" w:hAnsi="宋体" w:cs="宋体"/>
          <w:b/>
          <w:color w:val="auto"/>
          <w:szCs w:val="21"/>
          <w:highlight w:val="none"/>
        </w:rPr>
        <w:t>四、质量保修责任</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1. 属于保修范围、内容的项目，承包人应当在接到保修通知之日起7天内派人保修。承包人不在约定期限内派人保修的，发包人可以委托他人修理。</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2. 发生紧急抢修事故的，承包人在接到事故通知后，应当立即到达事故现场抢修。</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3. 对于涉及结构安全的质量问题，应当立即向当地建设行政主管部门报告，采取安全防范措施；由原设计单位或者具有相应资质等级的设计单位提出保修方案，承包人实施保修。</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4. 质量保修完成后，由发包人组织验收。</w:t>
      </w:r>
    </w:p>
    <w:p>
      <w:pPr>
        <w:widowControl/>
        <w:adjustRightInd w:val="0"/>
        <w:snapToGrid w:val="0"/>
        <w:spacing w:line="360" w:lineRule="auto"/>
        <w:ind w:firstLine="422" w:firstLineChars="200"/>
        <w:jc w:val="left"/>
        <w:rPr>
          <w:rFonts w:hint="eastAsia" w:ascii="宋体" w:hAnsi="宋体" w:cs="宋体"/>
          <w:b/>
          <w:bCs/>
          <w:color w:val="auto"/>
          <w:kern w:val="0"/>
          <w:position w:val="6"/>
          <w:szCs w:val="21"/>
          <w:highlight w:val="none"/>
        </w:rPr>
      </w:pPr>
      <w:r>
        <w:rPr>
          <w:rFonts w:hint="eastAsia" w:ascii="宋体" w:hAnsi="宋体" w:cs="宋体"/>
          <w:b/>
          <w:bCs/>
          <w:color w:val="auto"/>
          <w:kern w:val="0"/>
          <w:position w:val="6"/>
          <w:szCs w:val="21"/>
          <w:highlight w:val="none"/>
        </w:rPr>
        <w:t>五、保修费用</w:t>
      </w:r>
    </w:p>
    <w:p>
      <w:pPr>
        <w:widowControl/>
        <w:adjustRightInd w:val="0"/>
        <w:snapToGrid w:val="0"/>
        <w:spacing w:line="360" w:lineRule="auto"/>
        <w:ind w:firstLine="420" w:firstLineChars="200"/>
        <w:jc w:val="left"/>
        <w:rPr>
          <w:rFonts w:hint="eastAsia" w:ascii="宋体" w:hAnsi="宋体" w:cs="宋体"/>
          <w:color w:val="auto"/>
          <w:kern w:val="0"/>
          <w:position w:val="6"/>
          <w:szCs w:val="21"/>
          <w:highlight w:val="none"/>
        </w:rPr>
      </w:pPr>
      <w:r>
        <w:rPr>
          <w:rFonts w:hint="eastAsia" w:ascii="宋体" w:hAnsi="宋体" w:cs="宋体"/>
          <w:color w:val="auto"/>
          <w:kern w:val="0"/>
          <w:position w:val="6"/>
          <w:szCs w:val="21"/>
          <w:highlight w:val="none"/>
        </w:rPr>
        <w:t>保修费用由造成质量缺陷的责任方承担。</w:t>
      </w:r>
    </w:p>
    <w:p>
      <w:pPr>
        <w:widowControl/>
        <w:adjustRightInd w:val="0"/>
        <w:snapToGrid w:val="0"/>
        <w:spacing w:line="360" w:lineRule="auto"/>
        <w:ind w:firstLine="422" w:firstLineChars="200"/>
        <w:jc w:val="left"/>
        <w:rPr>
          <w:rFonts w:hint="eastAsia" w:ascii="宋体" w:hAnsi="宋体" w:cs="宋体"/>
          <w:b/>
          <w:color w:val="auto"/>
          <w:szCs w:val="21"/>
          <w:highlight w:val="none"/>
        </w:rPr>
      </w:pPr>
      <w:r>
        <w:rPr>
          <w:rFonts w:hint="eastAsia" w:ascii="宋体" w:hAnsi="宋体" w:cs="宋体"/>
          <w:b/>
          <w:bCs/>
          <w:color w:val="auto"/>
          <w:kern w:val="0"/>
          <w:position w:val="6"/>
          <w:szCs w:val="21"/>
          <w:highlight w:val="none"/>
        </w:rPr>
        <w:t>六、双方约定的其他工程质量保修事项：</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rPr>
        <w:t>。</w:t>
      </w:r>
    </w:p>
    <w:p>
      <w:pPr>
        <w:widowControl/>
        <w:adjustRightInd w:val="0"/>
        <w:snapToGrid w:val="0"/>
        <w:spacing w:line="360" w:lineRule="auto"/>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position w:val="6"/>
          <w:szCs w:val="21"/>
          <w:highlight w:val="none"/>
        </w:rPr>
        <w:t>本工程质量保修书，由施工合同发包人、承包人双方在竣工验收前共同签署，作为施工合同附件，其有效期限至保修期满。</w:t>
      </w:r>
    </w:p>
    <w:p>
      <w:pPr>
        <w:adjustRightInd w:val="0"/>
        <w:snapToGrid w:val="0"/>
        <w:spacing w:line="360" w:lineRule="auto"/>
        <w:ind w:firstLine="420"/>
        <w:rPr>
          <w:rFonts w:hint="eastAsia" w:ascii="宋体" w:hAnsi="宋体" w:cs="宋体"/>
          <w:color w:val="auto"/>
          <w:szCs w:val="21"/>
          <w:highlight w:val="none"/>
        </w:rPr>
      </w:pPr>
    </w:p>
    <w:p>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发包人(公章)：</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承包人(公章)：</w:t>
      </w:r>
      <w:r>
        <w:rPr>
          <w:rFonts w:hint="eastAsia" w:ascii="宋体" w:hAnsi="宋体" w:cs="宋体"/>
          <w:color w:val="auto"/>
          <w:szCs w:val="21"/>
          <w:highlight w:val="none"/>
          <w:u w:val="single"/>
        </w:rPr>
        <w:t xml:space="preserve">           </w:t>
      </w:r>
    </w:p>
    <w:p>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w:t>
      </w:r>
    </w:p>
    <w:p>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法定代表人(签字)：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委托代理人(签字)：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rPr>
          <w:color w:val="auto"/>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rPr>
          <w:rFonts w:hint="eastAsia" w:ascii="宋体" w:hAnsi="宋体" w:cs="宋体"/>
          <w:bCs/>
          <w:color w:val="auto"/>
          <w:sz w:val="24"/>
          <w:highlight w:val="none"/>
        </w:rPr>
      </w:pPr>
      <w:r>
        <w:rPr>
          <w:rFonts w:hint="eastAsia" w:ascii="宋体" w:hAnsi="宋体" w:cs="宋体"/>
          <w:bCs/>
          <w:color w:val="auto"/>
          <w:sz w:val="24"/>
          <w:highlight w:val="none"/>
        </w:rPr>
        <w:br w:type="page"/>
      </w:r>
    </w:p>
    <w:p>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sz w:val="24"/>
          <w:highlight w:val="none"/>
        </w:rPr>
        <w:t>附件</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rPr>
        <w:t>：主要建设工程文件目录</w:t>
      </w:r>
      <w:bookmarkEnd w:id="908"/>
    </w:p>
    <w:p>
      <w:pPr>
        <w:spacing w:before="120" w:beforeLines="50" w:after="120" w:afterLines="50"/>
        <w:jc w:val="center"/>
        <w:rPr>
          <w:rFonts w:hint="eastAsia" w:ascii="宋体" w:hAnsi="宋体" w:cs="宋体"/>
          <w:color w:val="auto"/>
          <w:szCs w:val="21"/>
          <w:highlight w:val="none"/>
        </w:rPr>
      </w:pPr>
      <w:r>
        <w:rPr>
          <w:rFonts w:hint="eastAsia" w:ascii="宋体" w:hAnsi="宋体" w:cs="宋体"/>
          <w:color w:val="auto"/>
          <w:szCs w:val="21"/>
          <w:highlight w:val="none"/>
        </w:rPr>
        <w:t>主要建设工程文件目录</w:t>
      </w:r>
    </w:p>
    <w:tbl>
      <w:tblPr>
        <w:tblStyle w:val="4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953"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文件名称</w:t>
            </w:r>
          </w:p>
        </w:tc>
        <w:tc>
          <w:tcPr>
            <w:tcW w:w="1276"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套数</w:t>
            </w:r>
          </w:p>
        </w:tc>
        <w:tc>
          <w:tcPr>
            <w:tcW w:w="1450"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费用（元）</w:t>
            </w:r>
          </w:p>
        </w:tc>
        <w:tc>
          <w:tcPr>
            <w:tcW w:w="1243"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质量</w:t>
            </w:r>
          </w:p>
        </w:tc>
        <w:tc>
          <w:tcPr>
            <w:tcW w:w="1450" w:type="dxa"/>
            <w:tcBorders>
              <w:top w:val="single" w:color="auto" w:sz="12" w:space="0"/>
              <w:bottom w:val="double" w:color="auto" w:sz="6" w:space="0"/>
            </w:tcBorders>
            <w:noWrap w:val="0"/>
            <w:vAlign w:val="top"/>
          </w:tcPr>
          <w:p>
            <w:pPr>
              <w:rPr>
                <w:rFonts w:hint="eastAsia" w:ascii="宋体" w:hAnsi="宋体" w:cs="宋体"/>
                <w:color w:val="auto"/>
                <w:szCs w:val="21"/>
                <w:highlight w:val="none"/>
              </w:rPr>
            </w:pPr>
            <w:r>
              <w:rPr>
                <w:rFonts w:hint="eastAsia" w:ascii="宋体" w:hAnsi="宋体" w:cs="宋体"/>
                <w:color w:val="auto"/>
                <w:szCs w:val="21"/>
                <w:highlight w:val="none"/>
              </w:rPr>
              <w:t>移交时间</w:t>
            </w:r>
          </w:p>
        </w:tc>
        <w:tc>
          <w:tcPr>
            <w:tcW w:w="1667" w:type="dxa"/>
            <w:tcBorders>
              <w:top w:val="single" w:color="auto" w:sz="12" w:space="0"/>
              <w:bottom w:val="double" w:color="auto" w:sz="6" w:space="0"/>
            </w:tcBorders>
            <w:noWrap w:val="0"/>
            <w:vAlign w:val="top"/>
          </w:tcPr>
          <w:p>
            <w:pPr>
              <w:rPr>
                <w:rFonts w:hint="eastAsia" w:ascii="宋体" w:hAnsi="宋体" w:cs="宋体"/>
                <w:color w:val="auto"/>
                <w:szCs w:val="21"/>
                <w:highlight w:val="none"/>
              </w:rPr>
            </w:pPr>
            <w:r>
              <w:rPr>
                <w:rFonts w:hint="eastAsia" w:ascii="宋体" w:hAnsi="宋体" w:cs="宋体"/>
                <w:color w:val="auto"/>
                <w:szCs w:val="21"/>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953" w:type="dxa"/>
            <w:tcBorders>
              <w:top w:val="double" w:color="auto" w:sz="6" w:space="0"/>
            </w:tcBorders>
            <w:noWrap w:val="0"/>
            <w:vAlign w:val="center"/>
          </w:tcPr>
          <w:p>
            <w:pPr>
              <w:keepNext/>
              <w:rPr>
                <w:rFonts w:hint="eastAsia" w:ascii="宋体" w:hAnsi="宋体" w:cs="宋体"/>
                <w:color w:val="auto"/>
                <w:szCs w:val="21"/>
                <w:highlight w:val="none"/>
              </w:rPr>
            </w:pPr>
          </w:p>
        </w:tc>
        <w:tc>
          <w:tcPr>
            <w:tcW w:w="1276" w:type="dxa"/>
            <w:tcBorders>
              <w:top w:val="double" w:color="auto" w:sz="6" w:space="0"/>
            </w:tcBorders>
            <w:noWrap w:val="0"/>
            <w:vAlign w:val="center"/>
          </w:tcPr>
          <w:p>
            <w:pPr>
              <w:keepNext/>
              <w:rPr>
                <w:rFonts w:hint="eastAsia" w:ascii="宋体" w:hAnsi="宋体" w:cs="宋体"/>
                <w:color w:val="auto"/>
                <w:szCs w:val="21"/>
                <w:highlight w:val="none"/>
              </w:rPr>
            </w:pPr>
          </w:p>
        </w:tc>
        <w:tc>
          <w:tcPr>
            <w:tcW w:w="1450" w:type="dxa"/>
            <w:tcBorders>
              <w:top w:val="double" w:color="auto" w:sz="6" w:space="0"/>
            </w:tcBorders>
            <w:noWrap w:val="0"/>
            <w:vAlign w:val="center"/>
          </w:tcPr>
          <w:p>
            <w:pPr>
              <w:keepNext/>
              <w:rPr>
                <w:rFonts w:hint="eastAsia" w:ascii="宋体" w:hAnsi="宋体" w:cs="宋体"/>
                <w:color w:val="auto"/>
                <w:szCs w:val="21"/>
                <w:highlight w:val="none"/>
              </w:rPr>
            </w:pPr>
          </w:p>
        </w:tc>
        <w:tc>
          <w:tcPr>
            <w:tcW w:w="1243" w:type="dxa"/>
            <w:tcBorders>
              <w:top w:val="double" w:color="auto" w:sz="6" w:space="0"/>
            </w:tcBorders>
            <w:noWrap w:val="0"/>
            <w:vAlign w:val="center"/>
          </w:tcPr>
          <w:p>
            <w:pPr>
              <w:keepNext/>
              <w:rPr>
                <w:rFonts w:hint="eastAsia" w:ascii="宋体" w:hAnsi="宋体" w:cs="宋体"/>
                <w:color w:val="auto"/>
                <w:szCs w:val="21"/>
                <w:highlight w:val="none"/>
              </w:rPr>
            </w:pPr>
          </w:p>
        </w:tc>
        <w:tc>
          <w:tcPr>
            <w:tcW w:w="1450" w:type="dxa"/>
            <w:tcBorders>
              <w:top w:val="double" w:color="auto" w:sz="6" w:space="0"/>
            </w:tcBorders>
            <w:noWrap w:val="0"/>
            <w:vAlign w:val="center"/>
          </w:tcPr>
          <w:p>
            <w:pPr>
              <w:keepNext/>
              <w:rPr>
                <w:rFonts w:hint="eastAsia" w:ascii="宋体" w:hAnsi="宋体" w:cs="宋体"/>
                <w:color w:val="auto"/>
                <w:szCs w:val="21"/>
                <w:highlight w:val="none"/>
              </w:rPr>
            </w:pPr>
          </w:p>
        </w:tc>
        <w:tc>
          <w:tcPr>
            <w:tcW w:w="1667" w:type="dxa"/>
            <w:tcBorders>
              <w:top w:val="double" w:color="auto" w:sz="6" w:space="0"/>
            </w:tcBorders>
            <w:noWrap w:val="0"/>
            <w:vAlign w:val="center"/>
          </w:tcPr>
          <w:p>
            <w:pPr>
              <w:keepNex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953" w:type="dxa"/>
            <w:tcBorders>
              <w:top w:val="nil"/>
            </w:tcBorders>
            <w:noWrap w:val="0"/>
            <w:vAlign w:val="center"/>
          </w:tcPr>
          <w:p>
            <w:pPr>
              <w:keepNext/>
              <w:rPr>
                <w:rFonts w:hint="eastAsia" w:ascii="宋体" w:hAnsi="宋体" w:cs="宋体"/>
                <w:color w:val="auto"/>
                <w:szCs w:val="21"/>
                <w:highlight w:val="none"/>
              </w:rPr>
            </w:pPr>
          </w:p>
        </w:tc>
        <w:tc>
          <w:tcPr>
            <w:tcW w:w="1276" w:type="dxa"/>
            <w:tcBorders>
              <w:top w:val="nil"/>
            </w:tcBorders>
            <w:noWrap w:val="0"/>
            <w:vAlign w:val="center"/>
          </w:tcPr>
          <w:p>
            <w:pPr>
              <w:keepNext/>
              <w:rPr>
                <w:rFonts w:hint="eastAsia" w:ascii="宋体" w:hAnsi="宋体" w:cs="宋体"/>
                <w:color w:val="auto"/>
                <w:szCs w:val="21"/>
                <w:highlight w:val="none"/>
              </w:rPr>
            </w:pPr>
          </w:p>
        </w:tc>
        <w:tc>
          <w:tcPr>
            <w:tcW w:w="1450" w:type="dxa"/>
            <w:tcBorders>
              <w:top w:val="nil"/>
            </w:tcBorders>
            <w:noWrap w:val="0"/>
            <w:vAlign w:val="center"/>
          </w:tcPr>
          <w:p>
            <w:pPr>
              <w:keepNext/>
              <w:rPr>
                <w:rFonts w:hint="eastAsia" w:ascii="宋体" w:hAnsi="宋体" w:cs="宋体"/>
                <w:color w:val="auto"/>
                <w:szCs w:val="21"/>
                <w:highlight w:val="none"/>
              </w:rPr>
            </w:pPr>
          </w:p>
        </w:tc>
        <w:tc>
          <w:tcPr>
            <w:tcW w:w="1243" w:type="dxa"/>
            <w:tcBorders>
              <w:top w:val="nil"/>
            </w:tcBorders>
            <w:noWrap w:val="0"/>
            <w:vAlign w:val="center"/>
          </w:tcPr>
          <w:p>
            <w:pPr>
              <w:keepNext/>
              <w:rPr>
                <w:rFonts w:hint="eastAsia" w:ascii="宋体" w:hAnsi="宋体" w:cs="宋体"/>
                <w:color w:val="auto"/>
                <w:szCs w:val="21"/>
                <w:highlight w:val="none"/>
              </w:rPr>
            </w:pPr>
          </w:p>
        </w:tc>
        <w:tc>
          <w:tcPr>
            <w:tcW w:w="1450" w:type="dxa"/>
            <w:tcBorders>
              <w:top w:val="nil"/>
            </w:tcBorders>
            <w:noWrap w:val="0"/>
            <w:vAlign w:val="center"/>
          </w:tcPr>
          <w:p>
            <w:pPr>
              <w:keepNext/>
              <w:rPr>
                <w:rFonts w:hint="eastAsia" w:ascii="宋体" w:hAnsi="宋体" w:cs="宋体"/>
                <w:color w:val="auto"/>
                <w:szCs w:val="21"/>
                <w:highlight w:val="none"/>
              </w:rPr>
            </w:pPr>
          </w:p>
        </w:tc>
        <w:tc>
          <w:tcPr>
            <w:tcW w:w="1667" w:type="dxa"/>
            <w:tcBorders>
              <w:top w:val="nil"/>
            </w:tcBorders>
            <w:noWrap w:val="0"/>
            <w:vAlign w:val="center"/>
          </w:tcPr>
          <w:p>
            <w:pPr>
              <w:keepNex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953" w:type="dxa"/>
            <w:noWrap w:val="0"/>
            <w:vAlign w:val="top"/>
          </w:tcPr>
          <w:p>
            <w:pPr>
              <w:rPr>
                <w:rFonts w:hint="eastAsia" w:ascii="宋体" w:hAnsi="宋体" w:cs="宋体"/>
                <w:color w:val="auto"/>
                <w:szCs w:val="21"/>
                <w:highlight w:val="none"/>
              </w:rPr>
            </w:pPr>
          </w:p>
        </w:tc>
        <w:tc>
          <w:tcPr>
            <w:tcW w:w="1276" w:type="dxa"/>
            <w:noWrap w:val="0"/>
            <w:vAlign w:val="top"/>
          </w:tcPr>
          <w:p>
            <w:pPr>
              <w:rPr>
                <w:rFonts w:hint="eastAsia" w:ascii="宋体" w:hAnsi="宋体" w:cs="宋体"/>
                <w:color w:val="auto"/>
                <w:szCs w:val="21"/>
                <w:highlight w:val="none"/>
              </w:rPr>
            </w:pPr>
          </w:p>
        </w:tc>
        <w:tc>
          <w:tcPr>
            <w:tcW w:w="1450" w:type="dxa"/>
            <w:noWrap w:val="0"/>
            <w:vAlign w:val="top"/>
          </w:tcPr>
          <w:p>
            <w:pPr>
              <w:rPr>
                <w:rFonts w:hint="eastAsia" w:ascii="宋体" w:hAnsi="宋体" w:cs="宋体"/>
                <w:color w:val="auto"/>
                <w:szCs w:val="21"/>
                <w:highlight w:val="none"/>
              </w:rPr>
            </w:pPr>
          </w:p>
        </w:tc>
        <w:tc>
          <w:tcPr>
            <w:tcW w:w="1243" w:type="dxa"/>
            <w:noWrap w:val="0"/>
            <w:vAlign w:val="top"/>
          </w:tcPr>
          <w:p>
            <w:pPr>
              <w:rPr>
                <w:rFonts w:hint="eastAsia" w:ascii="宋体" w:hAnsi="宋体" w:cs="宋体"/>
                <w:color w:val="auto"/>
                <w:szCs w:val="21"/>
                <w:highlight w:val="none"/>
              </w:rPr>
            </w:pPr>
          </w:p>
        </w:tc>
        <w:tc>
          <w:tcPr>
            <w:tcW w:w="1450" w:type="dxa"/>
            <w:noWrap w:val="0"/>
            <w:vAlign w:val="top"/>
          </w:tcPr>
          <w:p>
            <w:pPr>
              <w:rPr>
                <w:rFonts w:hint="eastAsia" w:ascii="宋体" w:hAnsi="宋体" w:cs="宋体"/>
                <w:color w:val="auto"/>
                <w:szCs w:val="21"/>
                <w:highlight w:val="none"/>
              </w:rPr>
            </w:pPr>
          </w:p>
        </w:tc>
        <w:tc>
          <w:tcPr>
            <w:tcW w:w="1667"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953" w:type="dxa"/>
            <w:noWrap w:val="0"/>
            <w:vAlign w:val="top"/>
          </w:tcPr>
          <w:p>
            <w:pPr>
              <w:rPr>
                <w:rFonts w:hint="eastAsia" w:ascii="宋体" w:hAnsi="宋体" w:cs="宋体"/>
                <w:color w:val="auto"/>
                <w:szCs w:val="21"/>
                <w:highlight w:val="none"/>
              </w:rPr>
            </w:pPr>
          </w:p>
        </w:tc>
        <w:tc>
          <w:tcPr>
            <w:tcW w:w="1276" w:type="dxa"/>
            <w:noWrap w:val="0"/>
            <w:vAlign w:val="top"/>
          </w:tcPr>
          <w:p>
            <w:pPr>
              <w:rPr>
                <w:rFonts w:hint="eastAsia" w:ascii="宋体" w:hAnsi="宋体" w:cs="宋体"/>
                <w:color w:val="auto"/>
                <w:szCs w:val="21"/>
                <w:highlight w:val="none"/>
              </w:rPr>
            </w:pPr>
          </w:p>
        </w:tc>
        <w:tc>
          <w:tcPr>
            <w:tcW w:w="1450" w:type="dxa"/>
            <w:noWrap w:val="0"/>
            <w:vAlign w:val="top"/>
          </w:tcPr>
          <w:p>
            <w:pPr>
              <w:rPr>
                <w:rFonts w:hint="eastAsia" w:ascii="宋体" w:hAnsi="宋体" w:cs="宋体"/>
                <w:color w:val="auto"/>
                <w:szCs w:val="21"/>
                <w:highlight w:val="none"/>
              </w:rPr>
            </w:pPr>
          </w:p>
        </w:tc>
        <w:tc>
          <w:tcPr>
            <w:tcW w:w="1243" w:type="dxa"/>
            <w:noWrap w:val="0"/>
            <w:vAlign w:val="top"/>
          </w:tcPr>
          <w:p>
            <w:pPr>
              <w:rPr>
                <w:rFonts w:hint="eastAsia" w:ascii="宋体" w:hAnsi="宋体" w:cs="宋体"/>
                <w:color w:val="auto"/>
                <w:szCs w:val="21"/>
                <w:highlight w:val="none"/>
              </w:rPr>
            </w:pPr>
          </w:p>
        </w:tc>
        <w:tc>
          <w:tcPr>
            <w:tcW w:w="1450" w:type="dxa"/>
            <w:noWrap w:val="0"/>
            <w:vAlign w:val="top"/>
          </w:tcPr>
          <w:p>
            <w:pPr>
              <w:rPr>
                <w:rFonts w:hint="eastAsia" w:ascii="宋体" w:hAnsi="宋体" w:cs="宋体"/>
                <w:color w:val="auto"/>
                <w:szCs w:val="21"/>
                <w:highlight w:val="none"/>
              </w:rPr>
            </w:pPr>
          </w:p>
        </w:tc>
        <w:tc>
          <w:tcPr>
            <w:tcW w:w="1667"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953" w:type="dxa"/>
            <w:tcBorders>
              <w:bottom w:val="single" w:color="auto" w:sz="12" w:space="0"/>
            </w:tcBorders>
            <w:noWrap w:val="0"/>
            <w:vAlign w:val="top"/>
          </w:tcPr>
          <w:p>
            <w:pPr>
              <w:rPr>
                <w:rFonts w:hint="eastAsia" w:ascii="宋体" w:hAnsi="宋体" w:cs="宋体"/>
                <w:color w:val="auto"/>
                <w:szCs w:val="21"/>
                <w:highlight w:val="none"/>
              </w:rPr>
            </w:pPr>
          </w:p>
        </w:tc>
        <w:tc>
          <w:tcPr>
            <w:tcW w:w="1276" w:type="dxa"/>
            <w:tcBorders>
              <w:bottom w:val="single" w:color="auto" w:sz="12" w:space="0"/>
            </w:tcBorders>
            <w:noWrap w:val="0"/>
            <w:vAlign w:val="top"/>
          </w:tcPr>
          <w:p>
            <w:pPr>
              <w:rPr>
                <w:rFonts w:hint="eastAsia" w:ascii="宋体" w:hAnsi="宋体" w:cs="宋体"/>
                <w:color w:val="auto"/>
                <w:szCs w:val="21"/>
                <w:highlight w:val="none"/>
              </w:rPr>
            </w:pPr>
          </w:p>
        </w:tc>
        <w:tc>
          <w:tcPr>
            <w:tcW w:w="1450" w:type="dxa"/>
            <w:tcBorders>
              <w:bottom w:val="single" w:color="auto" w:sz="12" w:space="0"/>
            </w:tcBorders>
            <w:noWrap w:val="0"/>
            <w:vAlign w:val="top"/>
          </w:tcPr>
          <w:p>
            <w:pPr>
              <w:rPr>
                <w:rFonts w:hint="eastAsia" w:ascii="宋体" w:hAnsi="宋体" w:cs="宋体"/>
                <w:color w:val="auto"/>
                <w:szCs w:val="21"/>
                <w:highlight w:val="none"/>
              </w:rPr>
            </w:pPr>
          </w:p>
        </w:tc>
        <w:tc>
          <w:tcPr>
            <w:tcW w:w="1243" w:type="dxa"/>
            <w:tcBorders>
              <w:bottom w:val="single" w:color="auto" w:sz="12" w:space="0"/>
            </w:tcBorders>
            <w:noWrap w:val="0"/>
            <w:vAlign w:val="top"/>
          </w:tcPr>
          <w:p>
            <w:pPr>
              <w:rPr>
                <w:rFonts w:hint="eastAsia" w:ascii="宋体" w:hAnsi="宋体" w:cs="宋体"/>
                <w:color w:val="auto"/>
                <w:szCs w:val="21"/>
                <w:highlight w:val="none"/>
              </w:rPr>
            </w:pPr>
          </w:p>
        </w:tc>
        <w:tc>
          <w:tcPr>
            <w:tcW w:w="1450" w:type="dxa"/>
            <w:tcBorders>
              <w:bottom w:val="single" w:color="auto" w:sz="12" w:space="0"/>
            </w:tcBorders>
            <w:noWrap w:val="0"/>
            <w:vAlign w:val="top"/>
          </w:tcPr>
          <w:p>
            <w:pPr>
              <w:rPr>
                <w:rFonts w:hint="eastAsia" w:ascii="宋体" w:hAnsi="宋体" w:cs="宋体"/>
                <w:color w:val="auto"/>
                <w:szCs w:val="21"/>
                <w:highlight w:val="none"/>
              </w:rPr>
            </w:pPr>
          </w:p>
        </w:tc>
        <w:tc>
          <w:tcPr>
            <w:tcW w:w="1667" w:type="dxa"/>
            <w:tcBorders>
              <w:bottom w:val="single" w:color="auto" w:sz="12" w:space="0"/>
            </w:tcBorders>
            <w:noWrap w:val="0"/>
            <w:vAlign w:val="top"/>
          </w:tcPr>
          <w:p>
            <w:pPr>
              <w:rPr>
                <w:rFonts w:hint="eastAsia" w:ascii="宋体" w:hAnsi="宋体" w:cs="宋体"/>
                <w:color w:val="auto"/>
                <w:szCs w:val="21"/>
                <w:highlight w:val="none"/>
              </w:rPr>
            </w:pPr>
          </w:p>
        </w:tc>
      </w:tr>
    </w:tbl>
    <w:p>
      <w:pPr>
        <w:rPr>
          <w:rFonts w:hint="eastAsia" w:ascii="宋体" w:hAnsi="宋体" w:cs="宋体"/>
          <w:color w:val="auto"/>
          <w:szCs w:val="21"/>
          <w:highlight w:val="none"/>
        </w:rPr>
      </w:pPr>
    </w:p>
    <w:p>
      <w:pPr>
        <w:keepNext/>
        <w:keepLines/>
        <w:spacing w:before="120" w:after="120" w:line="360" w:lineRule="auto"/>
        <w:jc w:val="left"/>
        <w:outlineLvl w:val="2"/>
        <w:rPr>
          <w:rFonts w:hint="eastAsia" w:ascii="宋体" w:hAnsi="宋体" w:cs="宋体"/>
          <w:bCs/>
          <w:color w:val="auto"/>
          <w:sz w:val="24"/>
          <w:highlight w:val="none"/>
        </w:rPr>
      </w:pPr>
      <w:bookmarkStart w:id="916" w:name="_Toc95223491"/>
      <w:r>
        <w:rPr>
          <w:rFonts w:hint="eastAsia" w:ascii="宋体" w:hAnsi="宋体" w:cs="宋体"/>
          <w:bCs/>
          <w:color w:val="auto"/>
          <w:sz w:val="24"/>
          <w:highlight w:val="none"/>
        </w:rPr>
        <w:t>附</w:t>
      </w:r>
      <w:bookmarkStart w:id="917" w:name="_Toc296891267"/>
      <w:bookmarkStart w:id="918" w:name="_Toc296347226"/>
      <w:bookmarkStart w:id="919" w:name="_Toc296891055"/>
      <w:bookmarkStart w:id="920" w:name="_Toc296503227"/>
      <w:bookmarkStart w:id="921" w:name="_Toc296944566"/>
      <w:bookmarkStart w:id="922" w:name="_Toc267261698"/>
      <w:bookmarkStart w:id="923" w:name="_Toc296346728"/>
      <w:r>
        <w:rPr>
          <w:rFonts w:hint="eastAsia" w:ascii="宋体" w:hAnsi="宋体" w:cs="宋体"/>
          <w:bCs/>
          <w:color w:val="auto"/>
          <w:sz w:val="24"/>
          <w:highlight w:val="none"/>
        </w:rPr>
        <w:t>件</w:t>
      </w: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rPr>
        <w:t>：承包人用于本工程施工的机械设备表</w:t>
      </w:r>
      <w:bookmarkEnd w:id="916"/>
    </w:p>
    <w:bookmarkEnd w:id="917"/>
    <w:bookmarkEnd w:id="918"/>
    <w:bookmarkEnd w:id="919"/>
    <w:bookmarkEnd w:id="920"/>
    <w:bookmarkEnd w:id="921"/>
    <w:bookmarkEnd w:id="922"/>
    <w:bookmarkEnd w:id="923"/>
    <w:p>
      <w:pPr>
        <w:spacing w:before="120" w:beforeLines="50" w:after="120" w:afterLines="50"/>
        <w:jc w:val="center"/>
        <w:rPr>
          <w:rFonts w:hint="eastAsia" w:ascii="宋体" w:hAnsi="宋体" w:cs="宋体"/>
          <w:color w:val="auto"/>
          <w:szCs w:val="21"/>
          <w:highlight w:val="none"/>
        </w:rPr>
      </w:pPr>
      <w:r>
        <w:rPr>
          <w:rFonts w:hint="eastAsia" w:ascii="宋体" w:hAnsi="宋体" w:cs="宋体"/>
          <w:color w:val="auto"/>
          <w:szCs w:val="21"/>
          <w:highlight w:val="none"/>
        </w:rPr>
        <w:t>承包人用于本工程施工的机械设备表</w:t>
      </w:r>
    </w:p>
    <w:tbl>
      <w:tblPr>
        <w:tblStyle w:val="46"/>
        <w:tblW w:w="89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37"/>
        <w:gridCol w:w="1418"/>
        <w:gridCol w:w="850"/>
        <w:gridCol w:w="709"/>
        <w:gridCol w:w="850"/>
        <w:gridCol w:w="963"/>
        <w:gridCol w:w="1480"/>
        <w:gridCol w:w="1020"/>
        <w:gridCol w:w="9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737"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418"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机械或设备名称</w:t>
            </w:r>
          </w:p>
        </w:tc>
        <w:tc>
          <w:tcPr>
            <w:tcW w:w="850"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规格型号</w:t>
            </w:r>
          </w:p>
        </w:tc>
        <w:tc>
          <w:tcPr>
            <w:tcW w:w="709"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850"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产地</w:t>
            </w:r>
          </w:p>
        </w:tc>
        <w:tc>
          <w:tcPr>
            <w:tcW w:w="963"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制造年份</w:t>
            </w:r>
          </w:p>
        </w:tc>
        <w:tc>
          <w:tcPr>
            <w:tcW w:w="1480"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额定功率(kW)</w:t>
            </w:r>
          </w:p>
        </w:tc>
        <w:tc>
          <w:tcPr>
            <w:tcW w:w="1020"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生产能力</w:t>
            </w:r>
          </w:p>
        </w:tc>
        <w:tc>
          <w:tcPr>
            <w:tcW w:w="932" w:type="dxa"/>
            <w:tcBorders>
              <w:top w:val="single" w:color="auto" w:sz="12" w:space="0"/>
              <w:bottom w:val="double" w:color="auto" w:sz="6" w:space="0"/>
            </w:tcBorders>
            <w:noWrap w:val="0"/>
            <w:vAlign w:val="center"/>
          </w:tcPr>
          <w:p>
            <w:pPr>
              <w:keepNext/>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top w:val="double" w:color="auto" w:sz="6" w:space="0"/>
            </w:tcBorders>
            <w:noWrap w:val="0"/>
            <w:vAlign w:val="center"/>
          </w:tcPr>
          <w:p>
            <w:pPr>
              <w:keepNext/>
              <w:rPr>
                <w:rFonts w:hint="eastAsia" w:ascii="宋体" w:hAnsi="宋体" w:cs="宋体"/>
                <w:color w:val="auto"/>
                <w:szCs w:val="21"/>
                <w:highlight w:val="none"/>
              </w:rPr>
            </w:pPr>
          </w:p>
        </w:tc>
        <w:tc>
          <w:tcPr>
            <w:tcW w:w="1418" w:type="dxa"/>
            <w:tcBorders>
              <w:top w:val="double" w:color="auto" w:sz="6" w:space="0"/>
            </w:tcBorders>
            <w:noWrap w:val="0"/>
            <w:vAlign w:val="center"/>
          </w:tcPr>
          <w:p>
            <w:pPr>
              <w:keepNext/>
              <w:rPr>
                <w:rFonts w:hint="eastAsia" w:ascii="宋体" w:hAnsi="宋体" w:cs="宋体"/>
                <w:color w:val="auto"/>
                <w:szCs w:val="21"/>
                <w:highlight w:val="none"/>
              </w:rPr>
            </w:pPr>
          </w:p>
        </w:tc>
        <w:tc>
          <w:tcPr>
            <w:tcW w:w="850" w:type="dxa"/>
            <w:tcBorders>
              <w:top w:val="double" w:color="auto" w:sz="6" w:space="0"/>
            </w:tcBorders>
            <w:noWrap w:val="0"/>
            <w:vAlign w:val="center"/>
          </w:tcPr>
          <w:p>
            <w:pPr>
              <w:keepNext/>
              <w:rPr>
                <w:rFonts w:hint="eastAsia" w:ascii="宋体" w:hAnsi="宋体" w:cs="宋体"/>
                <w:color w:val="auto"/>
                <w:szCs w:val="21"/>
                <w:highlight w:val="none"/>
              </w:rPr>
            </w:pPr>
          </w:p>
        </w:tc>
        <w:tc>
          <w:tcPr>
            <w:tcW w:w="709" w:type="dxa"/>
            <w:tcBorders>
              <w:top w:val="double" w:color="auto" w:sz="6" w:space="0"/>
            </w:tcBorders>
            <w:noWrap w:val="0"/>
            <w:vAlign w:val="center"/>
          </w:tcPr>
          <w:p>
            <w:pPr>
              <w:keepNext/>
              <w:rPr>
                <w:rFonts w:hint="eastAsia" w:ascii="宋体" w:hAnsi="宋体" w:cs="宋体"/>
                <w:color w:val="auto"/>
                <w:szCs w:val="21"/>
                <w:highlight w:val="none"/>
              </w:rPr>
            </w:pPr>
          </w:p>
        </w:tc>
        <w:tc>
          <w:tcPr>
            <w:tcW w:w="850" w:type="dxa"/>
            <w:tcBorders>
              <w:top w:val="double" w:color="auto" w:sz="6" w:space="0"/>
            </w:tcBorders>
            <w:noWrap w:val="0"/>
            <w:vAlign w:val="center"/>
          </w:tcPr>
          <w:p>
            <w:pPr>
              <w:keepNext/>
              <w:rPr>
                <w:rFonts w:hint="eastAsia" w:ascii="宋体" w:hAnsi="宋体" w:cs="宋体"/>
                <w:color w:val="auto"/>
                <w:szCs w:val="21"/>
                <w:highlight w:val="none"/>
              </w:rPr>
            </w:pPr>
          </w:p>
        </w:tc>
        <w:tc>
          <w:tcPr>
            <w:tcW w:w="963" w:type="dxa"/>
            <w:tcBorders>
              <w:top w:val="double" w:color="auto" w:sz="6" w:space="0"/>
            </w:tcBorders>
            <w:noWrap w:val="0"/>
            <w:vAlign w:val="center"/>
          </w:tcPr>
          <w:p>
            <w:pPr>
              <w:keepNext/>
              <w:rPr>
                <w:rFonts w:hint="eastAsia" w:ascii="宋体" w:hAnsi="宋体" w:cs="宋体"/>
                <w:color w:val="auto"/>
                <w:szCs w:val="21"/>
                <w:highlight w:val="none"/>
              </w:rPr>
            </w:pPr>
          </w:p>
        </w:tc>
        <w:tc>
          <w:tcPr>
            <w:tcW w:w="1480" w:type="dxa"/>
            <w:tcBorders>
              <w:top w:val="double" w:color="auto" w:sz="6" w:space="0"/>
            </w:tcBorders>
            <w:noWrap w:val="0"/>
            <w:vAlign w:val="center"/>
          </w:tcPr>
          <w:p>
            <w:pPr>
              <w:keepNext/>
              <w:rPr>
                <w:rFonts w:hint="eastAsia" w:ascii="宋体" w:hAnsi="宋体" w:cs="宋体"/>
                <w:color w:val="auto"/>
                <w:szCs w:val="21"/>
                <w:highlight w:val="none"/>
              </w:rPr>
            </w:pPr>
          </w:p>
        </w:tc>
        <w:tc>
          <w:tcPr>
            <w:tcW w:w="1020" w:type="dxa"/>
            <w:tcBorders>
              <w:top w:val="double" w:color="auto" w:sz="6" w:space="0"/>
            </w:tcBorders>
            <w:noWrap w:val="0"/>
            <w:vAlign w:val="center"/>
          </w:tcPr>
          <w:p>
            <w:pPr>
              <w:keepNext/>
              <w:rPr>
                <w:rFonts w:hint="eastAsia" w:ascii="宋体" w:hAnsi="宋体" w:cs="宋体"/>
                <w:color w:val="auto"/>
                <w:szCs w:val="21"/>
                <w:highlight w:val="none"/>
              </w:rPr>
            </w:pPr>
          </w:p>
        </w:tc>
        <w:tc>
          <w:tcPr>
            <w:tcW w:w="932" w:type="dxa"/>
            <w:tcBorders>
              <w:top w:val="double" w:color="auto" w:sz="6" w:space="0"/>
            </w:tcBorders>
            <w:noWrap w:val="0"/>
            <w:vAlign w:val="center"/>
          </w:tcPr>
          <w:p>
            <w:pPr>
              <w:keepNex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top w:val="nil"/>
            </w:tcBorders>
            <w:noWrap w:val="0"/>
            <w:vAlign w:val="center"/>
          </w:tcPr>
          <w:p>
            <w:pPr>
              <w:keepNext/>
              <w:rPr>
                <w:rFonts w:hint="eastAsia" w:ascii="宋体" w:hAnsi="宋体" w:cs="宋体"/>
                <w:color w:val="auto"/>
                <w:szCs w:val="21"/>
                <w:highlight w:val="none"/>
              </w:rPr>
            </w:pPr>
          </w:p>
        </w:tc>
        <w:tc>
          <w:tcPr>
            <w:tcW w:w="1418" w:type="dxa"/>
            <w:tcBorders>
              <w:top w:val="nil"/>
            </w:tcBorders>
            <w:noWrap w:val="0"/>
            <w:vAlign w:val="center"/>
          </w:tcPr>
          <w:p>
            <w:pPr>
              <w:keepNext/>
              <w:rPr>
                <w:rFonts w:hint="eastAsia" w:ascii="宋体" w:hAnsi="宋体" w:cs="宋体"/>
                <w:color w:val="auto"/>
                <w:szCs w:val="21"/>
                <w:highlight w:val="none"/>
              </w:rPr>
            </w:pPr>
          </w:p>
        </w:tc>
        <w:tc>
          <w:tcPr>
            <w:tcW w:w="850" w:type="dxa"/>
            <w:tcBorders>
              <w:top w:val="nil"/>
            </w:tcBorders>
            <w:noWrap w:val="0"/>
            <w:vAlign w:val="center"/>
          </w:tcPr>
          <w:p>
            <w:pPr>
              <w:keepNext/>
              <w:rPr>
                <w:rFonts w:hint="eastAsia" w:ascii="宋体" w:hAnsi="宋体" w:cs="宋体"/>
                <w:color w:val="auto"/>
                <w:szCs w:val="21"/>
                <w:highlight w:val="none"/>
              </w:rPr>
            </w:pPr>
          </w:p>
        </w:tc>
        <w:tc>
          <w:tcPr>
            <w:tcW w:w="709" w:type="dxa"/>
            <w:tcBorders>
              <w:top w:val="nil"/>
            </w:tcBorders>
            <w:noWrap w:val="0"/>
            <w:vAlign w:val="center"/>
          </w:tcPr>
          <w:p>
            <w:pPr>
              <w:keepNext/>
              <w:rPr>
                <w:rFonts w:hint="eastAsia" w:ascii="宋体" w:hAnsi="宋体" w:cs="宋体"/>
                <w:color w:val="auto"/>
                <w:szCs w:val="21"/>
                <w:highlight w:val="none"/>
              </w:rPr>
            </w:pPr>
          </w:p>
        </w:tc>
        <w:tc>
          <w:tcPr>
            <w:tcW w:w="850" w:type="dxa"/>
            <w:tcBorders>
              <w:top w:val="nil"/>
            </w:tcBorders>
            <w:noWrap w:val="0"/>
            <w:vAlign w:val="center"/>
          </w:tcPr>
          <w:p>
            <w:pPr>
              <w:keepNext/>
              <w:rPr>
                <w:rFonts w:hint="eastAsia" w:ascii="宋体" w:hAnsi="宋体" w:cs="宋体"/>
                <w:color w:val="auto"/>
                <w:szCs w:val="21"/>
                <w:highlight w:val="none"/>
              </w:rPr>
            </w:pPr>
          </w:p>
        </w:tc>
        <w:tc>
          <w:tcPr>
            <w:tcW w:w="963" w:type="dxa"/>
            <w:tcBorders>
              <w:top w:val="nil"/>
            </w:tcBorders>
            <w:noWrap w:val="0"/>
            <w:vAlign w:val="center"/>
          </w:tcPr>
          <w:p>
            <w:pPr>
              <w:keepNext/>
              <w:rPr>
                <w:rFonts w:hint="eastAsia" w:ascii="宋体" w:hAnsi="宋体" w:cs="宋体"/>
                <w:color w:val="auto"/>
                <w:szCs w:val="21"/>
                <w:highlight w:val="none"/>
              </w:rPr>
            </w:pPr>
          </w:p>
        </w:tc>
        <w:tc>
          <w:tcPr>
            <w:tcW w:w="1480" w:type="dxa"/>
            <w:tcBorders>
              <w:top w:val="nil"/>
            </w:tcBorders>
            <w:noWrap w:val="0"/>
            <w:vAlign w:val="center"/>
          </w:tcPr>
          <w:p>
            <w:pPr>
              <w:keepNext/>
              <w:rPr>
                <w:rFonts w:hint="eastAsia" w:ascii="宋体" w:hAnsi="宋体" w:cs="宋体"/>
                <w:color w:val="auto"/>
                <w:szCs w:val="21"/>
                <w:highlight w:val="none"/>
              </w:rPr>
            </w:pPr>
          </w:p>
        </w:tc>
        <w:tc>
          <w:tcPr>
            <w:tcW w:w="1020" w:type="dxa"/>
            <w:tcBorders>
              <w:top w:val="nil"/>
            </w:tcBorders>
            <w:noWrap w:val="0"/>
            <w:vAlign w:val="center"/>
          </w:tcPr>
          <w:p>
            <w:pPr>
              <w:keepNext/>
              <w:rPr>
                <w:rFonts w:hint="eastAsia" w:ascii="宋体" w:hAnsi="宋体" w:cs="宋体"/>
                <w:color w:val="auto"/>
                <w:szCs w:val="21"/>
                <w:highlight w:val="none"/>
              </w:rPr>
            </w:pPr>
          </w:p>
        </w:tc>
        <w:tc>
          <w:tcPr>
            <w:tcW w:w="932" w:type="dxa"/>
            <w:tcBorders>
              <w:top w:val="nil"/>
            </w:tcBorders>
            <w:noWrap w:val="0"/>
            <w:vAlign w:val="center"/>
          </w:tcPr>
          <w:p>
            <w:pPr>
              <w:keepNex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709"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963"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32"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709"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963"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32"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bottom w:val="single" w:color="auto" w:sz="12" w:space="0"/>
            </w:tcBorders>
            <w:noWrap w:val="0"/>
            <w:vAlign w:val="top"/>
          </w:tcPr>
          <w:p>
            <w:pPr>
              <w:rPr>
                <w:rFonts w:hint="eastAsia" w:ascii="宋体" w:hAnsi="宋体" w:cs="宋体"/>
                <w:color w:val="auto"/>
                <w:szCs w:val="21"/>
                <w:highlight w:val="none"/>
              </w:rPr>
            </w:pPr>
          </w:p>
        </w:tc>
        <w:tc>
          <w:tcPr>
            <w:tcW w:w="1418" w:type="dxa"/>
            <w:tcBorders>
              <w:bottom w:val="single" w:color="auto" w:sz="12" w:space="0"/>
            </w:tcBorders>
            <w:noWrap w:val="0"/>
            <w:vAlign w:val="top"/>
          </w:tcPr>
          <w:p>
            <w:pPr>
              <w:rPr>
                <w:rFonts w:hint="eastAsia" w:ascii="宋体" w:hAnsi="宋体" w:cs="宋体"/>
                <w:color w:val="auto"/>
                <w:szCs w:val="21"/>
                <w:highlight w:val="none"/>
              </w:rPr>
            </w:pPr>
          </w:p>
        </w:tc>
        <w:tc>
          <w:tcPr>
            <w:tcW w:w="850" w:type="dxa"/>
            <w:tcBorders>
              <w:bottom w:val="single" w:color="auto" w:sz="12" w:space="0"/>
            </w:tcBorders>
            <w:noWrap w:val="0"/>
            <w:vAlign w:val="top"/>
          </w:tcPr>
          <w:p>
            <w:pPr>
              <w:rPr>
                <w:rFonts w:hint="eastAsia" w:ascii="宋体" w:hAnsi="宋体" w:cs="宋体"/>
                <w:color w:val="auto"/>
                <w:szCs w:val="21"/>
                <w:highlight w:val="none"/>
              </w:rPr>
            </w:pPr>
          </w:p>
        </w:tc>
        <w:tc>
          <w:tcPr>
            <w:tcW w:w="709" w:type="dxa"/>
            <w:tcBorders>
              <w:bottom w:val="single" w:color="auto" w:sz="12" w:space="0"/>
            </w:tcBorders>
            <w:noWrap w:val="0"/>
            <w:vAlign w:val="top"/>
          </w:tcPr>
          <w:p>
            <w:pPr>
              <w:rPr>
                <w:rFonts w:hint="eastAsia" w:ascii="宋体" w:hAnsi="宋体" w:cs="宋体"/>
                <w:color w:val="auto"/>
                <w:szCs w:val="21"/>
                <w:highlight w:val="none"/>
              </w:rPr>
            </w:pPr>
          </w:p>
        </w:tc>
        <w:tc>
          <w:tcPr>
            <w:tcW w:w="850" w:type="dxa"/>
            <w:tcBorders>
              <w:bottom w:val="single" w:color="auto" w:sz="12" w:space="0"/>
            </w:tcBorders>
            <w:noWrap w:val="0"/>
            <w:vAlign w:val="top"/>
          </w:tcPr>
          <w:p>
            <w:pPr>
              <w:rPr>
                <w:rFonts w:hint="eastAsia" w:ascii="宋体" w:hAnsi="宋体" w:cs="宋体"/>
                <w:color w:val="auto"/>
                <w:szCs w:val="21"/>
                <w:highlight w:val="none"/>
              </w:rPr>
            </w:pPr>
          </w:p>
        </w:tc>
        <w:tc>
          <w:tcPr>
            <w:tcW w:w="963" w:type="dxa"/>
            <w:tcBorders>
              <w:bottom w:val="single" w:color="auto" w:sz="12" w:space="0"/>
            </w:tcBorders>
            <w:noWrap w:val="0"/>
            <w:vAlign w:val="top"/>
          </w:tcPr>
          <w:p>
            <w:pPr>
              <w:rPr>
                <w:rFonts w:hint="eastAsia" w:ascii="宋体" w:hAnsi="宋体" w:cs="宋体"/>
                <w:color w:val="auto"/>
                <w:szCs w:val="21"/>
                <w:highlight w:val="none"/>
              </w:rPr>
            </w:pPr>
          </w:p>
        </w:tc>
        <w:tc>
          <w:tcPr>
            <w:tcW w:w="1480" w:type="dxa"/>
            <w:tcBorders>
              <w:bottom w:val="single" w:color="auto" w:sz="12" w:space="0"/>
            </w:tcBorders>
            <w:noWrap w:val="0"/>
            <w:vAlign w:val="top"/>
          </w:tcPr>
          <w:p>
            <w:pPr>
              <w:rPr>
                <w:rFonts w:hint="eastAsia" w:ascii="宋体" w:hAnsi="宋体" w:cs="宋体"/>
                <w:color w:val="auto"/>
                <w:szCs w:val="21"/>
                <w:highlight w:val="none"/>
              </w:rPr>
            </w:pPr>
          </w:p>
        </w:tc>
        <w:tc>
          <w:tcPr>
            <w:tcW w:w="1020" w:type="dxa"/>
            <w:tcBorders>
              <w:bottom w:val="single" w:color="auto" w:sz="12" w:space="0"/>
            </w:tcBorders>
            <w:noWrap w:val="0"/>
            <w:vAlign w:val="top"/>
          </w:tcPr>
          <w:p>
            <w:pPr>
              <w:rPr>
                <w:rFonts w:hint="eastAsia" w:ascii="宋体" w:hAnsi="宋体" w:cs="宋体"/>
                <w:color w:val="auto"/>
                <w:szCs w:val="21"/>
                <w:highlight w:val="none"/>
              </w:rPr>
            </w:pPr>
          </w:p>
        </w:tc>
        <w:tc>
          <w:tcPr>
            <w:tcW w:w="932" w:type="dxa"/>
            <w:tcBorders>
              <w:bottom w:val="single" w:color="auto" w:sz="12" w:space="0"/>
            </w:tcBorders>
            <w:noWrap w:val="0"/>
            <w:vAlign w:val="top"/>
          </w:tcPr>
          <w:p>
            <w:pPr>
              <w:rPr>
                <w:rFonts w:hint="eastAsia" w:ascii="宋体" w:hAnsi="宋体" w:cs="宋体"/>
                <w:color w:val="auto"/>
                <w:szCs w:val="21"/>
                <w:highlight w:val="none"/>
              </w:rPr>
            </w:pPr>
          </w:p>
        </w:tc>
      </w:tr>
    </w:tbl>
    <w:p>
      <w:pPr>
        <w:rPr>
          <w:rFonts w:hint="eastAsia" w:ascii="宋体" w:hAnsi="宋体" w:cs="宋体"/>
          <w:color w:val="auto"/>
          <w:szCs w:val="21"/>
          <w:highlight w:val="none"/>
        </w:rPr>
      </w:pPr>
    </w:p>
    <w:p>
      <w:pPr>
        <w:widowControl/>
        <w:spacing w:line="360" w:lineRule="auto"/>
        <w:jc w:val="center"/>
        <w:rPr>
          <w:rFonts w:hint="eastAsia" w:ascii="宋体" w:hAnsi="宋体" w:cs="宋体"/>
          <w:color w:val="auto"/>
          <w:sz w:val="24"/>
          <w:highlight w:val="none"/>
        </w:rPr>
      </w:pPr>
      <w:r>
        <w:rPr>
          <w:rFonts w:hint="eastAsia" w:ascii="宋体" w:hAnsi="宋体" w:cs="宋体"/>
          <w:color w:val="auto"/>
          <w:szCs w:val="21"/>
          <w:highlight w:val="none"/>
        </w:rPr>
        <w:br w:type="page"/>
      </w:r>
    </w:p>
    <w:p>
      <w:pPr>
        <w:keepNext/>
        <w:keepLines/>
        <w:spacing w:before="120" w:after="120" w:line="360" w:lineRule="auto"/>
        <w:jc w:val="left"/>
        <w:outlineLvl w:val="2"/>
        <w:rPr>
          <w:rFonts w:hint="eastAsia" w:ascii="宋体" w:hAnsi="宋体" w:cs="宋体"/>
          <w:bCs/>
          <w:color w:val="auto"/>
          <w:sz w:val="24"/>
          <w:highlight w:val="none"/>
        </w:rPr>
      </w:pPr>
      <w:bookmarkStart w:id="924" w:name="_Toc95223492"/>
      <w:r>
        <w:rPr>
          <w:rFonts w:hint="eastAsia" w:ascii="宋体" w:hAnsi="宋体" w:cs="宋体"/>
          <w:bCs/>
          <w:color w:val="auto"/>
          <w:sz w:val="24"/>
          <w:highlight w:val="none"/>
        </w:rPr>
        <w:t>附</w:t>
      </w:r>
      <w:bookmarkStart w:id="925" w:name="_Toc267261699"/>
      <w:bookmarkStart w:id="926" w:name="_Toc296891268"/>
      <w:bookmarkStart w:id="927" w:name="_Toc296503228"/>
      <w:bookmarkStart w:id="928" w:name="_Toc296347227"/>
      <w:bookmarkStart w:id="929" w:name="_Toc296891056"/>
      <w:bookmarkStart w:id="930" w:name="_Toc296944567"/>
      <w:bookmarkStart w:id="931" w:name="_Toc296346729"/>
      <w:r>
        <w:rPr>
          <w:rFonts w:hint="eastAsia" w:ascii="宋体" w:hAnsi="宋体" w:cs="宋体"/>
          <w:bCs/>
          <w:color w:val="auto"/>
          <w:sz w:val="24"/>
          <w:highlight w:val="none"/>
        </w:rPr>
        <w:t>件</w:t>
      </w:r>
      <w:bookmarkEnd w:id="925"/>
      <w:bookmarkEnd w:id="926"/>
      <w:bookmarkEnd w:id="927"/>
      <w:bookmarkEnd w:id="928"/>
      <w:bookmarkEnd w:id="929"/>
      <w:bookmarkEnd w:id="930"/>
      <w:bookmarkEnd w:id="931"/>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rPr>
        <w:t>：承包人主要施工管理人员表</w:t>
      </w:r>
      <w:bookmarkEnd w:id="924"/>
    </w:p>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承包人主要施工管理人员表</w:t>
      </w:r>
    </w:p>
    <w:tbl>
      <w:tblPr>
        <w:tblStyle w:val="46"/>
        <w:tblW w:w="5113"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729"/>
        <w:gridCol w:w="1156"/>
        <w:gridCol w:w="926"/>
        <w:gridCol w:w="926"/>
        <w:gridCol w:w="2358"/>
        <w:gridCol w:w="21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single" w:color="auto" w:sz="12" w:space="0"/>
              <w:bottom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名    称</w:t>
            </w:r>
          </w:p>
        </w:tc>
        <w:tc>
          <w:tcPr>
            <w:tcW w:w="627" w:type="pct"/>
            <w:tcBorders>
              <w:top w:val="single" w:color="auto" w:sz="12" w:space="0"/>
              <w:bottom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502" w:type="pct"/>
            <w:tcBorders>
              <w:top w:val="single" w:color="auto" w:sz="12" w:space="0"/>
              <w:bottom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c>
          <w:tcPr>
            <w:tcW w:w="502" w:type="pct"/>
            <w:tcBorders>
              <w:top w:val="single" w:color="auto" w:sz="12" w:space="0"/>
              <w:bottom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1279" w:type="pct"/>
            <w:tcBorders>
              <w:top w:val="single" w:color="auto" w:sz="12" w:space="0"/>
              <w:bottom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主要资历、经验及承担过的项目</w:t>
            </w:r>
          </w:p>
        </w:tc>
        <w:tc>
          <w:tcPr>
            <w:tcW w:w="1153" w:type="pct"/>
            <w:tcBorders>
              <w:top w:val="single" w:color="auto" w:sz="12" w:space="0"/>
              <w:bottom w:val="double" w:color="auto" w:sz="6" w:space="0"/>
            </w:tcBorders>
            <w:noWrap w:val="0"/>
            <w:vAlign w:val="top"/>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7" w:type="pct"/>
            <w:gridSpan w:val="5"/>
            <w:tcBorders>
              <w:top w:val="double" w:color="auto" w:sz="6" w:space="0"/>
            </w:tcBorders>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一、总部人员</w:t>
            </w:r>
          </w:p>
        </w:tc>
        <w:tc>
          <w:tcPr>
            <w:tcW w:w="1153" w:type="pct"/>
            <w:tcBorders>
              <w:top w:val="double" w:color="auto" w:sz="6" w:space="0"/>
            </w:tcBorders>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项目主管</w:t>
            </w:r>
          </w:p>
        </w:tc>
        <w:tc>
          <w:tcPr>
            <w:tcW w:w="627" w:type="pct"/>
            <w:tcBorders>
              <w:top w:val="nil"/>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top w:val="nil"/>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top w:val="nil"/>
            </w:tcBorders>
            <w:noWrap w:val="0"/>
            <w:vAlign w:val="center"/>
          </w:tcPr>
          <w:p>
            <w:pPr>
              <w:keepNext/>
              <w:spacing w:line="360" w:lineRule="auto"/>
              <w:jc w:val="center"/>
              <w:rPr>
                <w:rFonts w:hint="eastAsia" w:ascii="宋体" w:hAnsi="宋体" w:cs="宋体"/>
                <w:color w:val="auto"/>
                <w:szCs w:val="21"/>
                <w:highlight w:val="none"/>
              </w:rPr>
            </w:pPr>
          </w:p>
        </w:tc>
        <w:tc>
          <w:tcPr>
            <w:tcW w:w="1279" w:type="pct"/>
            <w:tcBorders>
              <w:top w:val="nil"/>
            </w:tcBorders>
            <w:noWrap w:val="0"/>
            <w:vAlign w:val="center"/>
          </w:tcPr>
          <w:p>
            <w:pPr>
              <w:keepNext/>
              <w:spacing w:line="360" w:lineRule="auto"/>
              <w:jc w:val="center"/>
              <w:rPr>
                <w:rFonts w:hint="eastAsia" w:ascii="宋体" w:hAnsi="宋体" w:cs="宋体"/>
                <w:color w:val="auto"/>
                <w:szCs w:val="21"/>
                <w:highlight w:val="none"/>
              </w:rPr>
            </w:pPr>
          </w:p>
        </w:tc>
        <w:tc>
          <w:tcPr>
            <w:tcW w:w="1153" w:type="pct"/>
            <w:tcBorders>
              <w:top w:val="nil"/>
            </w:tcBorders>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bottom w:val="nil"/>
            </w:tcBorders>
            <w:noWrap w:val="0"/>
            <w:vAlign w:val="center"/>
          </w:tcPr>
          <w:p>
            <w:pPr>
              <w:spacing w:line="360" w:lineRule="auto"/>
              <w:jc w:val="center"/>
              <w:rPr>
                <w:rFonts w:hint="eastAsia" w:ascii="宋体" w:hAnsi="宋体" w:cs="宋体"/>
                <w:color w:val="auto"/>
                <w:szCs w:val="21"/>
                <w:highlight w:val="none"/>
              </w:rPr>
            </w:pP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其他人员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pPr>
              <w:spacing w:line="360" w:lineRule="auto"/>
              <w:jc w:val="center"/>
              <w:rPr>
                <w:rFonts w:hint="eastAsia" w:ascii="宋体" w:hAnsi="宋体" w:cs="宋体"/>
                <w:color w:val="auto"/>
                <w:szCs w:val="21"/>
                <w:highlight w:val="none"/>
              </w:rPr>
            </w:pP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7" w:type="pct"/>
            <w:gridSpan w:val="5"/>
            <w:noWrap w:val="0"/>
            <w:vAlign w:val="center"/>
          </w:tcPr>
          <w:p>
            <w:pPr>
              <w:keepNext/>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二、现场人员</w:t>
            </w: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项目副经理</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项目技术负责人</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施工员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质检员（质量员）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安全员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资料员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restart"/>
            <w:noWrap w:val="0"/>
            <w:vAlign w:val="center"/>
          </w:tcPr>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其他人员</w:t>
            </w: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pPr>
              <w:keepNext/>
              <w:spacing w:line="360" w:lineRule="auto"/>
              <w:jc w:val="center"/>
              <w:rPr>
                <w:rFonts w:hint="eastAsia" w:ascii="宋体" w:hAnsi="宋体" w:cs="宋体"/>
                <w:color w:val="auto"/>
                <w:szCs w:val="21"/>
                <w:highlight w:val="none"/>
              </w:rPr>
            </w:pPr>
          </w:p>
        </w:tc>
        <w:tc>
          <w:tcPr>
            <w:tcW w:w="627" w:type="pct"/>
            <w:tcBorders>
              <w:bottom w:val="nil"/>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bottom w:val="nil"/>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bottom w:val="nil"/>
            </w:tcBorders>
            <w:noWrap w:val="0"/>
            <w:vAlign w:val="center"/>
          </w:tcPr>
          <w:p>
            <w:pPr>
              <w:keepNext/>
              <w:spacing w:line="360" w:lineRule="auto"/>
              <w:jc w:val="center"/>
              <w:rPr>
                <w:rFonts w:hint="eastAsia" w:ascii="宋体" w:hAnsi="宋体" w:cs="宋体"/>
                <w:color w:val="auto"/>
                <w:szCs w:val="21"/>
                <w:highlight w:val="none"/>
              </w:rPr>
            </w:pPr>
          </w:p>
        </w:tc>
        <w:tc>
          <w:tcPr>
            <w:tcW w:w="1279" w:type="pct"/>
            <w:tcBorders>
              <w:bottom w:val="nil"/>
            </w:tcBorders>
            <w:noWrap w:val="0"/>
            <w:vAlign w:val="center"/>
          </w:tcPr>
          <w:p>
            <w:pPr>
              <w:keepNext/>
              <w:spacing w:line="360" w:lineRule="auto"/>
              <w:jc w:val="center"/>
              <w:rPr>
                <w:rFonts w:hint="eastAsia" w:ascii="宋体" w:hAnsi="宋体" w:cs="宋体"/>
                <w:color w:val="auto"/>
                <w:szCs w:val="21"/>
                <w:highlight w:val="none"/>
              </w:rPr>
            </w:pPr>
          </w:p>
        </w:tc>
        <w:tc>
          <w:tcPr>
            <w:tcW w:w="1153" w:type="pct"/>
            <w:tcBorders>
              <w:bottom w:val="nil"/>
            </w:tcBorders>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pPr>
              <w:keepNext/>
              <w:spacing w:line="360" w:lineRule="auto"/>
              <w:jc w:val="center"/>
              <w:rPr>
                <w:rFonts w:hint="eastAsia" w:ascii="宋体" w:hAnsi="宋体" w:cs="宋体"/>
                <w:color w:val="auto"/>
                <w:szCs w:val="21"/>
                <w:highlight w:val="none"/>
              </w:rPr>
            </w:pP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pPr>
              <w:keepNext/>
              <w:spacing w:line="360" w:lineRule="auto"/>
              <w:jc w:val="center"/>
              <w:rPr>
                <w:rFonts w:hint="eastAsia" w:ascii="宋体" w:hAnsi="宋体" w:cs="宋体"/>
                <w:color w:val="auto"/>
                <w:szCs w:val="21"/>
                <w:highlight w:val="none"/>
              </w:rPr>
            </w:pP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pPr>
              <w:keepNext/>
              <w:spacing w:line="360" w:lineRule="auto"/>
              <w:jc w:val="center"/>
              <w:rPr>
                <w:rFonts w:hint="eastAsia" w:ascii="宋体" w:hAnsi="宋体" w:cs="宋体"/>
                <w:color w:val="auto"/>
                <w:szCs w:val="21"/>
                <w:highlight w:val="none"/>
              </w:rPr>
            </w:pPr>
          </w:p>
        </w:tc>
        <w:tc>
          <w:tcPr>
            <w:tcW w:w="627"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502" w:type="pct"/>
            <w:noWrap w:val="0"/>
            <w:vAlign w:val="center"/>
          </w:tcPr>
          <w:p>
            <w:pPr>
              <w:keepNext/>
              <w:spacing w:line="360" w:lineRule="auto"/>
              <w:jc w:val="center"/>
              <w:rPr>
                <w:rFonts w:hint="eastAsia" w:ascii="宋体" w:hAnsi="宋体" w:cs="宋体"/>
                <w:color w:val="auto"/>
                <w:szCs w:val="21"/>
                <w:highlight w:val="none"/>
              </w:rPr>
            </w:pPr>
          </w:p>
        </w:tc>
        <w:tc>
          <w:tcPr>
            <w:tcW w:w="1279" w:type="pct"/>
            <w:noWrap w:val="0"/>
            <w:vAlign w:val="center"/>
          </w:tcPr>
          <w:p>
            <w:pPr>
              <w:keepNext/>
              <w:spacing w:line="360" w:lineRule="auto"/>
              <w:jc w:val="center"/>
              <w:rPr>
                <w:rFonts w:hint="eastAsia" w:ascii="宋体" w:hAnsi="宋体" w:cs="宋体"/>
                <w:color w:val="auto"/>
                <w:szCs w:val="21"/>
                <w:highlight w:val="none"/>
              </w:rPr>
            </w:pPr>
          </w:p>
        </w:tc>
        <w:tc>
          <w:tcPr>
            <w:tcW w:w="1153" w:type="pct"/>
            <w:noWrap w:val="0"/>
            <w:vAlign w:val="top"/>
          </w:tcPr>
          <w:p>
            <w:pPr>
              <w:keepNext/>
              <w:spacing w:line="360" w:lineRule="auto"/>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tcBorders>
              <w:bottom w:val="single" w:color="auto" w:sz="12" w:space="0"/>
            </w:tcBorders>
            <w:noWrap w:val="0"/>
            <w:vAlign w:val="center"/>
          </w:tcPr>
          <w:p>
            <w:pPr>
              <w:keepNext/>
              <w:spacing w:line="360" w:lineRule="auto"/>
              <w:jc w:val="center"/>
              <w:rPr>
                <w:rFonts w:hint="eastAsia" w:ascii="宋体" w:hAnsi="宋体" w:cs="宋体"/>
                <w:color w:val="auto"/>
                <w:szCs w:val="21"/>
                <w:highlight w:val="none"/>
              </w:rPr>
            </w:pPr>
          </w:p>
        </w:tc>
        <w:tc>
          <w:tcPr>
            <w:tcW w:w="627" w:type="pct"/>
            <w:tcBorders>
              <w:bottom w:val="single" w:color="auto" w:sz="12" w:space="0"/>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bottom w:val="single" w:color="auto" w:sz="12" w:space="0"/>
            </w:tcBorders>
            <w:noWrap w:val="0"/>
            <w:vAlign w:val="center"/>
          </w:tcPr>
          <w:p>
            <w:pPr>
              <w:keepNext/>
              <w:spacing w:line="360" w:lineRule="auto"/>
              <w:jc w:val="center"/>
              <w:rPr>
                <w:rFonts w:hint="eastAsia" w:ascii="宋体" w:hAnsi="宋体" w:cs="宋体"/>
                <w:color w:val="auto"/>
                <w:szCs w:val="21"/>
                <w:highlight w:val="none"/>
              </w:rPr>
            </w:pPr>
          </w:p>
        </w:tc>
        <w:tc>
          <w:tcPr>
            <w:tcW w:w="502" w:type="pct"/>
            <w:tcBorders>
              <w:bottom w:val="single" w:color="auto" w:sz="12" w:space="0"/>
            </w:tcBorders>
            <w:noWrap w:val="0"/>
            <w:vAlign w:val="center"/>
          </w:tcPr>
          <w:p>
            <w:pPr>
              <w:keepNext/>
              <w:spacing w:line="360" w:lineRule="auto"/>
              <w:jc w:val="center"/>
              <w:rPr>
                <w:rFonts w:hint="eastAsia" w:ascii="宋体" w:hAnsi="宋体" w:cs="宋体"/>
                <w:color w:val="auto"/>
                <w:szCs w:val="21"/>
                <w:highlight w:val="none"/>
              </w:rPr>
            </w:pPr>
          </w:p>
        </w:tc>
        <w:tc>
          <w:tcPr>
            <w:tcW w:w="1279" w:type="pct"/>
            <w:tcBorders>
              <w:bottom w:val="single" w:color="auto" w:sz="12" w:space="0"/>
            </w:tcBorders>
            <w:noWrap w:val="0"/>
            <w:vAlign w:val="center"/>
          </w:tcPr>
          <w:p>
            <w:pPr>
              <w:keepNext/>
              <w:spacing w:line="360" w:lineRule="auto"/>
              <w:jc w:val="center"/>
              <w:rPr>
                <w:rFonts w:hint="eastAsia" w:ascii="宋体" w:hAnsi="宋体" w:cs="宋体"/>
                <w:color w:val="auto"/>
                <w:szCs w:val="21"/>
                <w:highlight w:val="none"/>
              </w:rPr>
            </w:pPr>
          </w:p>
        </w:tc>
        <w:tc>
          <w:tcPr>
            <w:tcW w:w="1153" w:type="pct"/>
            <w:tcBorders>
              <w:bottom w:val="single" w:color="auto" w:sz="12" w:space="0"/>
            </w:tcBorders>
            <w:noWrap w:val="0"/>
            <w:vAlign w:val="top"/>
          </w:tcPr>
          <w:p>
            <w:pPr>
              <w:keepNext/>
              <w:spacing w:line="360" w:lineRule="auto"/>
              <w:jc w:val="center"/>
              <w:rPr>
                <w:rFonts w:hint="eastAsia" w:ascii="宋体" w:hAnsi="宋体" w:cs="宋体"/>
                <w:color w:val="auto"/>
                <w:szCs w:val="21"/>
                <w:highlight w:val="none"/>
              </w:rPr>
            </w:pPr>
          </w:p>
        </w:tc>
      </w:tr>
    </w:tbl>
    <w:p>
      <w:pPr>
        <w:pStyle w:val="43"/>
        <w:spacing w:beforeLines="50" w:afterLines="50" w:line="440" w:lineRule="exact"/>
        <w:rPr>
          <w:rFonts w:hint="eastAsia"/>
          <w:bCs/>
          <w:color w:val="auto"/>
          <w:szCs w:val="32"/>
          <w:highlight w:val="none"/>
        </w:rPr>
      </w:pPr>
    </w:p>
    <w:p>
      <w:pPr>
        <w:rPr>
          <w:rFonts w:hint="eastAsia" w:ascii="宋体" w:hAnsi="宋体" w:cs="宋体"/>
          <w:bCs/>
          <w:color w:val="auto"/>
          <w:sz w:val="24"/>
          <w:highlight w:val="none"/>
        </w:rPr>
      </w:pPr>
      <w:bookmarkStart w:id="932" w:name="_Toc7655"/>
      <w:bookmarkStart w:id="933" w:name="_Toc95223495"/>
      <w:bookmarkStart w:id="934" w:name="_Toc25726"/>
      <w:r>
        <w:rPr>
          <w:rFonts w:hint="eastAsia" w:ascii="宋体" w:hAnsi="宋体" w:cs="宋体"/>
          <w:bCs/>
          <w:color w:val="auto"/>
          <w:sz w:val="24"/>
          <w:highlight w:val="none"/>
        </w:rPr>
        <w:br w:type="page"/>
      </w:r>
    </w:p>
    <w:p>
      <w:pPr>
        <w:keepNext/>
        <w:keepLines/>
        <w:spacing w:before="120" w:after="120" w:line="360" w:lineRule="auto"/>
        <w:jc w:val="left"/>
        <w:outlineLvl w:val="0"/>
        <w:rPr>
          <w:rFonts w:hint="eastAsia" w:ascii="宋体" w:hAnsi="宋体" w:cs="宋体"/>
          <w:bCs/>
          <w:color w:val="auto"/>
          <w:sz w:val="24"/>
          <w:highlight w:val="none"/>
        </w:rPr>
      </w:pPr>
      <w:r>
        <w:rPr>
          <w:rFonts w:hint="eastAsia" w:ascii="宋体" w:hAnsi="宋体" w:cs="宋体"/>
          <w:bCs/>
          <w:color w:val="auto"/>
          <w:sz w:val="24"/>
          <w:highlight w:val="none"/>
        </w:rPr>
        <w:t>附</w:t>
      </w:r>
      <w:bookmarkStart w:id="935" w:name="_Toc296503231"/>
      <w:bookmarkStart w:id="936" w:name="_Toc296891271"/>
      <w:bookmarkStart w:id="937" w:name="_Toc296347230"/>
      <w:bookmarkStart w:id="938" w:name="_Toc296944570"/>
      <w:bookmarkStart w:id="939" w:name="_Toc296891059"/>
      <w:bookmarkStart w:id="940" w:name="_Toc296346732"/>
      <w:r>
        <w:rPr>
          <w:rFonts w:hint="eastAsia" w:ascii="宋体" w:hAnsi="宋体" w:cs="宋体"/>
          <w:bCs/>
          <w:color w:val="auto"/>
          <w:sz w:val="24"/>
          <w:highlight w:val="none"/>
        </w:rPr>
        <w:t>件</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rPr>
        <w:t>：廉政协议</w:t>
      </w:r>
      <w:bookmarkEnd w:id="932"/>
      <w:bookmarkEnd w:id="933"/>
      <w:bookmarkEnd w:id="934"/>
    </w:p>
    <w:bookmarkEnd w:id="935"/>
    <w:bookmarkEnd w:id="936"/>
    <w:bookmarkEnd w:id="937"/>
    <w:bookmarkEnd w:id="938"/>
    <w:bookmarkEnd w:id="939"/>
    <w:bookmarkEnd w:id="940"/>
    <w:p>
      <w:pPr>
        <w:widowControl/>
        <w:spacing w:line="360" w:lineRule="auto"/>
        <w:ind w:firstLine="643"/>
        <w:jc w:val="center"/>
        <w:outlineLvl w:val="0"/>
        <w:rPr>
          <w:rFonts w:hint="eastAsia" w:ascii="宋体" w:hAnsi="宋体" w:cs="宋体"/>
          <w:b/>
          <w:bCs/>
          <w:color w:val="auto"/>
          <w:kern w:val="0"/>
          <w:sz w:val="32"/>
          <w:szCs w:val="32"/>
          <w:highlight w:val="none"/>
        </w:rPr>
      </w:pPr>
      <w:bookmarkStart w:id="941" w:name="_Toc9808"/>
      <w:bookmarkStart w:id="942" w:name="_Toc7607"/>
      <w:bookmarkStart w:id="943" w:name="_Toc95223496"/>
      <w:r>
        <w:rPr>
          <w:rFonts w:hint="eastAsia" w:ascii="宋体" w:hAnsi="宋体" w:cs="宋体"/>
          <w:b/>
          <w:bCs/>
          <w:color w:val="auto"/>
          <w:kern w:val="0"/>
          <w:sz w:val="32"/>
          <w:szCs w:val="32"/>
          <w:highlight w:val="none"/>
        </w:rPr>
        <w:t>廉 政 协 议</w:t>
      </w:r>
      <w:bookmarkEnd w:id="941"/>
      <w:bookmarkEnd w:id="942"/>
      <w:bookmarkEnd w:id="943"/>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为促进双方诚信经营、廉洁从业，防范商业贿赂，保护国家、集体和当事人的合法权益，根据国家有关法律法规和安徽省、项目所在地廉政建设的规定，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(以下称甲方)与</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(以下称乙方)，特此订立本协议共同遵照执行。</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44" w:name="_Toc95223497"/>
      <w:bookmarkStart w:id="945" w:name="_Toc21306"/>
      <w:bookmarkStart w:id="946" w:name="_Toc9888"/>
      <w:r>
        <w:rPr>
          <w:rFonts w:hint="eastAsia" w:ascii="宋体" w:hAnsi="宋体" w:cs="宋体"/>
          <w:color w:val="auto"/>
          <w:kern w:val="0"/>
          <w:szCs w:val="21"/>
          <w:highlight w:val="none"/>
        </w:rPr>
        <w:t>第一条 甲乙双方的权利和义务</w:t>
      </w:r>
      <w:bookmarkEnd w:id="944"/>
      <w:bookmarkEnd w:id="945"/>
      <w:bookmarkEnd w:id="946"/>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（二）严格执行</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的合同要求，自觉履行合同约定的相关义务。</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（三）在业务活动中坚持公开、公正、诚信、透明的原则，不得损害国家、集体利益。</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（四）建立健全廉政制度，开展廉政教育，公布举报电话，监督并认真查处违法违纪行为。</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（五）发现对方在业务活动中有违反廉政规定的行为，应及时提醒对方纠正。情节严重的，应向其上级有关部门举报、建议给予处理，并有权要求告知处理结果。</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47" w:name="_Toc3866"/>
      <w:bookmarkStart w:id="948" w:name="_Toc1917"/>
      <w:bookmarkStart w:id="949" w:name="_Toc95223498"/>
      <w:r>
        <w:rPr>
          <w:rFonts w:hint="eastAsia" w:ascii="宋体" w:hAnsi="宋体" w:cs="宋体"/>
          <w:color w:val="auto"/>
          <w:kern w:val="0"/>
          <w:szCs w:val="21"/>
          <w:highlight w:val="none"/>
        </w:rPr>
        <w:t>第二条 甲方的义务</w:t>
      </w:r>
      <w:bookmarkEnd w:id="947"/>
      <w:bookmarkEnd w:id="948"/>
      <w:bookmarkEnd w:id="949"/>
    </w:p>
    <w:p>
      <w:pPr>
        <w:widowControl/>
        <w:spacing w:line="360" w:lineRule="auto"/>
        <w:ind w:firstLine="525" w:firstLineChars="25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(一)甲方及其工作人员不得索要或接受乙方的礼金、有价证券和贵重物品，不得在乙方报销任何应由甲方单位或个人支付的费用等。</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 甲方及其工作人员不得要求或者接受乙方为其住房装修、婚丧嫁娶活动、配偶子女工作安排以及出国出境、旅游等提供方便等。</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 甲方工作人员不得在乙方有股权关联的企业兼职，不得向乙方介绍家属或者亲友从事与甲方业务有关的经济活动。</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（五）甲方工作人员不得以明显低于市场的价格向乙方购买房屋、汽车等物品；不得以明显高于市场的价格向乙方出售房屋、汽车等物品；不得以其他交易形式非法收受请托人财物。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（六）甲方工作人员不得利用职务之便收受乙方以回扣、手续费、加班费、咨询费、劳务费、协调费、辛苦费等各种名义给予或赠送的钱物。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（七）甲方工作人员不得接受乙方给予或赠送的干股或红利。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（八）甲方任何人不得以个人的名义向乙方推荐设备、部件等供货商以及其他合作单位。</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50" w:name="_Toc95223499"/>
      <w:bookmarkStart w:id="951" w:name="_Toc10556"/>
      <w:bookmarkStart w:id="952" w:name="_Toc20831"/>
      <w:r>
        <w:rPr>
          <w:rFonts w:hint="eastAsia" w:ascii="宋体" w:hAnsi="宋体" w:cs="宋体"/>
          <w:color w:val="auto"/>
          <w:kern w:val="0"/>
          <w:szCs w:val="21"/>
          <w:highlight w:val="none"/>
        </w:rPr>
        <w:t>第三条 乙方的义务</w:t>
      </w:r>
      <w:bookmarkEnd w:id="950"/>
      <w:bookmarkEnd w:id="951"/>
      <w:bookmarkEnd w:id="952"/>
    </w:p>
    <w:p>
      <w:pPr>
        <w:widowControl/>
        <w:spacing w:line="360" w:lineRule="auto"/>
        <w:ind w:firstLine="525" w:firstLineChars="25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(一)乙方不得以任何理由向甲方及其工作人员行贿或馈赠礼金、有价证券、贵重礼品。</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（二)乙方不得以任何名义为甲方及其工作人员报销应由甲方单位或个人支付的任何费用。</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(三)乙方不得以任何理由安排甲方工作人员参加可能影响相关业务公开、公正、公平性的宴请及娱乐活动。</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（四）乙方不得为甲方单位和个人购置或提供通讯工具和高档办公用品等物品，也不得为甲方提供与工作无关的房屋、汽车等。</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（五）乙方不得与甲方工作人员就合同中的质量、数量、价格、工程量、验收等条款进行私下商谈或者达成默契。</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（六）乙方不得以回扣、手续费、加班费、咨询费、劳务费、协调费、辛苦费等各种名义向甲方工作人员给予或赠送钱物。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（七）乙方不得向甲方工作人员提供干股或红利。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（八）乙方须按</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专项纪检监察工作组(如有)要求开展相关工作。</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53" w:name="_Toc95223500"/>
      <w:bookmarkStart w:id="954" w:name="_Toc14507"/>
      <w:bookmarkStart w:id="955" w:name="_Toc2198"/>
      <w:r>
        <w:rPr>
          <w:rFonts w:hint="eastAsia" w:ascii="宋体" w:hAnsi="宋体" w:cs="宋体"/>
          <w:color w:val="auto"/>
          <w:kern w:val="0"/>
          <w:szCs w:val="21"/>
          <w:highlight w:val="none"/>
        </w:rPr>
        <w:t>第四条 违约责任</w:t>
      </w:r>
      <w:bookmarkEnd w:id="953"/>
      <w:bookmarkEnd w:id="954"/>
      <w:bookmarkEnd w:id="955"/>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甲方投诉联系部门：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，联系电话：</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（二）乙方及其工作人员违反本协议第一、三条规定。根据具体情节和造成的后果，甲方有权对乙方采取以下一种或多种处理办法：</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 全额收取乙方合同履约保证金不予退还；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 追究乙方其他违约责任；</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 终止或解除双方已签订的包括本合同在内的所有合同；</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 乙方一定期限内（6个月至3年，具体由甲方根据情况而定）不得参与甲方作为发包人（业主）的工程项目投标。</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甲方作出的处理意见，乙方应无条件接受并承担给甲方造成的损失，全额返还通过不正当手段从甲方获取的非法所得，并承担相应的法律责任。</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56" w:name="_Toc10228"/>
      <w:bookmarkStart w:id="957" w:name="_Toc2334"/>
      <w:bookmarkStart w:id="958" w:name="_Toc95223501"/>
      <w:r>
        <w:rPr>
          <w:rFonts w:hint="eastAsia" w:ascii="宋体" w:hAnsi="宋体" w:cs="宋体"/>
          <w:color w:val="auto"/>
          <w:kern w:val="0"/>
          <w:szCs w:val="21"/>
          <w:highlight w:val="none"/>
        </w:rPr>
        <w:t>第五条 双方约定</w:t>
      </w:r>
      <w:bookmarkEnd w:id="956"/>
      <w:bookmarkEnd w:id="957"/>
      <w:bookmarkEnd w:id="958"/>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59" w:name="_Toc95223502"/>
      <w:bookmarkStart w:id="960" w:name="_Toc32140"/>
      <w:bookmarkStart w:id="961" w:name="_Toc17717"/>
      <w:r>
        <w:rPr>
          <w:rFonts w:hint="eastAsia" w:ascii="宋体" w:hAnsi="宋体" w:cs="宋体"/>
          <w:color w:val="auto"/>
          <w:kern w:val="0"/>
          <w:szCs w:val="21"/>
          <w:highlight w:val="none"/>
        </w:rPr>
        <w:t>第六条  本协议有效期为甲乙双方签署之日起至合同终止。</w:t>
      </w:r>
      <w:bookmarkEnd w:id="959"/>
      <w:bookmarkEnd w:id="960"/>
      <w:bookmarkEnd w:id="961"/>
      <w:r>
        <w:rPr>
          <w:rFonts w:hint="eastAsia" w:ascii="宋体" w:hAnsi="宋体" w:cs="宋体"/>
          <w:color w:val="auto"/>
          <w:kern w:val="0"/>
          <w:szCs w:val="21"/>
          <w:highlight w:val="none"/>
        </w:rPr>
        <w:t xml:space="preserve">  </w:t>
      </w:r>
    </w:p>
    <w:p>
      <w:pPr>
        <w:widowControl/>
        <w:spacing w:line="360" w:lineRule="auto"/>
        <w:ind w:firstLine="420" w:firstLineChars="200"/>
        <w:jc w:val="left"/>
        <w:outlineLvl w:val="0"/>
        <w:rPr>
          <w:rFonts w:hint="eastAsia" w:ascii="宋体" w:hAnsi="宋体" w:cs="宋体"/>
          <w:color w:val="auto"/>
          <w:kern w:val="0"/>
          <w:szCs w:val="21"/>
          <w:highlight w:val="none"/>
        </w:rPr>
      </w:pPr>
      <w:bookmarkStart w:id="962" w:name="_Toc24032"/>
      <w:bookmarkStart w:id="963" w:name="_Toc1871"/>
      <w:bookmarkStart w:id="964" w:name="_Toc95223503"/>
      <w:r>
        <w:rPr>
          <w:rFonts w:hint="eastAsia" w:ascii="宋体" w:hAnsi="宋体" w:cs="宋体"/>
          <w:color w:val="auto"/>
          <w:kern w:val="0"/>
          <w:szCs w:val="21"/>
          <w:highlight w:val="none"/>
        </w:rPr>
        <w:t>第七条  本协议作为合同的附件，与本合同具有同等法律效力。</w:t>
      </w:r>
      <w:bookmarkEnd w:id="962"/>
      <w:bookmarkEnd w:id="963"/>
      <w:bookmarkEnd w:id="964"/>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甲方（盖章）：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乙方（盖章）：</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法定代表人或                                法定代表人或</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授权代表：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(职务)              授权代表：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(职务)</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姓名：</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签字：</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签字：</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廉政监督联系人                              廉政监督联系人</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姓名：</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签字：</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签字：</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电话：</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地址：</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地址：</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日期：</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日期：</w:t>
      </w:r>
      <w:r>
        <w:rPr>
          <w:rFonts w:hint="eastAsia" w:ascii="宋体" w:hAnsi="宋体" w:cs="宋体"/>
          <w:color w:val="auto"/>
          <w:kern w:val="0"/>
          <w:szCs w:val="21"/>
          <w:highlight w:val="none"/>
          <w:u w:val="single"/>
        </w:rPr>
        <w:t xml:space="preserve">                       </w:t>
      </w:r>
    </w:p>
    <w:p>
      <w:pPr>
        <w:keepNext/>
        <w:keepLines/>
        <w:spacing w:before="120" w:after="120" w:line="360" w:lineRule="auto"/>
        <w:jc w:val="left"/>
        <w:outlineLvl w:val="2"/>
        <w:rPr>
          <w:rFonts w:hint="eastAsia" w:ascii="宋体" w:hAnsi="宋体" w:cs="宋体"/>
          <w:color w:val="auto"/>
          <w:szCs w:val="21"/>
          <w:highlight w:val="none"/>
        </w:rPr>
      </w:pPr>
      <w:r>
        <w:rPr>
          <w:rFonts w:hint="eastAsia" w:ascii="宋体" w:hAnsi="宋体" w:cs="宋体"/>
          <w:bCs/>
          <w:color w:val="auto"/>
          <w:kern w:val="0"/>
          <w:sz w:val="24"/>
          <w:szCs w:val="21"/>
          <w:highlight w:val="none"/>
        </w:rPr>
        <w:br w:type="page"/>
      </w:r>
      <w:bookmarkStart w:id="965" w:name="_Toc95223504"/>
      <w:r>
        <w:rPr>
          <w:rFonts w:hint="eastAsia" w:ascii="宋体" w:hAnsi="宋体" w:cs="宋体"/>
          <w:bCs/>
          <w:color w:val="auto"/>
          <w:sz w:val="24"/>
          <w:highlight w:val="none"/>
        </w:rPr>
        <w:t>附件</w:t>
      </w:r>
      <w:r>
        <w:rPr>
          <w:rFonts w:hint="eastAsia" w:ascii="宋体" w:hAnsi="宋体" w:cs="宋体"/>
          <w:bCs/>
          <w:color w:val="auto"/>
          <w:sz w:val="24"/>
          <w:highlight w:val="none"/>
          <w:lang w:val="en-US" w:eastAsia="zh-CN"/>
        </w:rPr>
        <w:t>7</w:t>
      </w:r>
      <w:r>
        <w:rPr>
          <w:rFonts w:hint="eastAsia" w:ascii="宋体" w:hAnsi="宋体" w:cs="宋体"/>
          <w:bCs/>
          <w:color w:val="auto"/>
          <w:sz w:val="24"/>
          <w:highlight w:val="none"/>
        </w:rPr>
        <w:t>：履约保证金</w:t>
      </w:r>
      <w:bookmarkEnd w:id="965"/>
    </w:p>
    <w:p>
      <w:pPr>
        <w:adjustRightInd w:val="0"/>
        <w:snapToGrid w:val="0"/>
        <w:spacing w:line="360" w:lineRule="auto"/>
        <w:jc w:val="center"/>
        <w:outlineLvl w:val="0"/>
        <w:rPr>
          <w:rFonts w:hint="eastAsia" w:ascii="宋体" w:hAnsi="宋体" w:cs="宋体"/>
          <w:b/>
          <w:bCs/>
          <w:color w:val="auto"/>
          <w:sz w:val="32"/>
          <w:szCs w:val="32"/>
          <w:highlight w:val="none"/>
        </w:rPr>
      </w:pPr>
      <w:bookmarkStart w:id="966" w:name="_Toc95223505"/>
      <w:bookmarkStart w:id="967" w:name="_Toc8655"/>
      <w:bookmarkStart w:id="968" w:name="_Toc25855"/>
      <w:r>
        <w:rPr>
          <w:rFonts w:hint="eastAsia" w:ascii="宋体" w:hAnsi="宋体" w:cs="宋体"/>
          <w:b/>
          <w:bCs/>
          <w:color w:val="auto"/>
          <w:sz w:val="32"/>
          <w:szCs w:val="32"/>
          <w:highlight w:val="none"/>
        </w:rPr>
        <w:t>履约保函示范文本</w:t>
      </w:r>
      <w:bookmarkEnd w:id="966"/>
      <w:bookmarkEnd w:id="967"/>
      <w:bookmarkEnd w:id="968"/>
    </w:p>
    <w:p>
      <w:pPr>
        <w:wordWrap w:val="0"/>
        <w:adjustRightInd w:val="0"/>
        <w:snapToGrid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rPr>
          <w:rFonts w:hint="eastAsia" w:ascii="宋体" w:hAnsi="宋体" w:cs="宋体"/>
          <w:color w:val="auto"/>
          <w:szCs w:val="21"/>
          <w:highlight w:val="none"/>
        </w:rPr>
      </w:pP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（受益人名称）：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（以下简称“受益人”）与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（以下简称“申请人”）于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（标段编号）的</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（标段名称）</w:t>
      </w:r>
      <w:r>
        <w:rPr>
          <w:rFonts w:hint="eastAsia" w:ascii="宋体" w:hAnsi="宋体" w:cs="宋体"/>
          <w:color w:val="auto"/>
          <w:szCs w:val="21"/>
          <w:highlight w:val="none"/>
        </w:rPr>
        <w:t>有关事项协商一致共同签订</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一、本保函担保范围：承包人未按照基础合同的约定履行义务，应当向受益人承担的违约责任和赔偿因此造成的损失、利息、律师费、诉讼费用等实现债权的费用。</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二、本保函担保金额最高不超过人民币（大写）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三、本保函有效期自开立之日起至基础合同约定的缺陷责任期满之日止。 </w:t>
      </w:r>
    </w:p>
    <w:p>
      <w:pPr>
        <w:adjustRightInd w:val="0"/>
        <w:snapToGrid w:val="0"/>
        <w:spacing w:line="360" w:lineRule="auto"/>
        <w:ind w:firstLine="480"/>
        <w:rPr>
          <w:rFonts w:hint="eastAsia" w:ascii="宋体" w:hAnsi="宋体" w:cs="宋体"/>
          <w:color w:val="auto"/>
          <w:szCs w:val="21"/>
          <w:highlight w:val="none"/>
        </w:rPr>
      </w:pPr>
      <w:bookmarkStart w:id="969" w:name="_Hlk40302764"/>
      <w:r>
        <w:rPr>
          <w:rFonts w:hint="eastAsia" w:ascii="宋体" w:hAnsi="宋体" w:cs="宋体"/>
          <w:color w:val="auto"/>
          <w:szCs w:val="21"/>
          <w:highlight w:val="none"/>
        </w:rPr>
        <w:t>四、开立人承诺，在收到受益人发来的书面付款通知后的七日内无条件支付，前述书面付款通知即为付款要求之单据，且应满足以下要求：</w:t>
      </w:r>
    </w:p>
    <w:bookmarkEnd w:id="969"/>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（1）付款通知到达的日期在本保函的有效期内；</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（2）载明要求支付的金额；</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（3）载明申请人违反合同义务的条款和内容；</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（4）声明不存在合同文件约定或我国法律规定免除申请人或开立人支付责任的情形；</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（5）付款通知应在本保函有效期内到达的地址是：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bookmarkStart w:id="970" w:name="_Hlk40303486"/>
      <w:r>
        <w:rPr>
          <w:rFonts w:hint="eastAsia" w:ascii="宋体" w:hAnsi="宋体" w:cs="宋体"/>
          <w:color w:val="auto"/>
          <w:szCs w:val="21"/>
          <w:highlight w:val="none"/>
        </w:rPr>
        <w:t>受益人发出的书面付款通知应由其法定代表人（负责人）或授权代理人签字并加盖公章。</w:t>
      </w:r>
      <w:bookmarkEnd w:id="970"/>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五、本保函项下的权利不得转让，不得设定担保。受益人未经我方书面同意转 让本保函或其项下任何权利，对我方不发生法律效力。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六、与本保函有关的基础合同不成立、不生效、无效、被撤销、被解除，不影响本保函的独立有效。 </w:t>
      </w:r>
    </w:p>
    <w:p>
      <w:pPr>
        <w:adjustRightInd w:val="0"/>
        <w:snapToGrid w:val="0"/>
        <w:spacing w:line="360" w:lineRule="auto"/>
        <w:ind w:firstLine="420" w:firstLineChars="200"/>
        <w:rPr>
          <w:rFonts w:hint="eastAsia" w:ascii="宋体" w:hAnsi="宋体" w:cs="宋体"/>
          <w:color w:val="auto"/>
          <w:szCs w:val="21"/>
          <w:highlight w:val="none"/>
        </w:rPr>
      </w:pPr>
      <w:bookmarkStart w:id="971" w:name="_Hlk40303383"/>
      <w:bookmarkStart w:id="972" w:name="_Hlk40354981"/>
      <w:r>
        <w:rPr>
          <w:rFonts w:hint="eastAsia" w:ascii="宋体" w:hAnsi="宋体" w:cs="宋体"/>
          <w:color w:val="auto"/>
          <w:szCs w:val="21"/>
          <w:highlight w:val="none"/>
        </w:rPr>
        <w:t xml:space="preserve">七、本保函项下的义务和责任均在保函有效期到期后自动消灭。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八、本保函适用的法律为中华人民共和国法律，因本保函产生的纠纷案件，</w:t>
      </w:r>
      <w:bookmarkEnd w:id="971"/>
      <w:r>
        <w:rPr>
          <w:rFonts w:hint="eastAsia" w:ascii="宋体" w:hAnsi="宋体" w:cs="宋体"/>
          <w:color w:val="auto"/>
          <w:szCs w:val="21"/>
          <w:highlight w:val="none"/>
        </w:rPr>
        <w:t xml:space="preserve">由受益人所在地人民法院管辖。 </w:t>
      </w:r>
    </w:p>
    <w:bookmarkEnd w:id="972"/>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九、本保函自我方法定代表人或授权代表签字并加盖公章之日起生效。 </w:t>
      </w:r>
    </w:p>
    <w:p>
      <w:pPr>
        <w:adjustRightInd w:val="0"/>
        <w:snapToGrid w:val="0"/>
        <w:spacing w:line="360" w:lineRule="auto"/>
        <w:ind w:firstLine="420" w:firstLineChars="200"/>
        <w:rPr>
          <w:rFonts w:hint="eastAsia" w:ascii="宋体" w:hAnsi="宋体" w:cs="宋体"/>
          <w:color w:val="auto"/>
          <w:szCs w:val="21"/>
          <w:highlight w:val="none"/>
        </w:rPr>
      </w:pPr>
    </w:p>
    <w:p>
      <w:pPr>
        <w:adjustRightInd w:val="0"/>
        <w:snapToGrid w:val="0"/>
        <w:spacing w:line="360" w:lineRule="auto"/>
        <w:ind w:firstLine="420" w:firstLineChars="200"/>
        <w:rPr>
          <w:rFonts w:hint="eastAsia" w:ascii="宋体" w:hAnsi="宋体" w:cs="宋体"/>
          <w:color w:val="auto"/>
          <w:szCs w:val="21"/>
          <w:highlight w:val="none"/>
        </w:rPr>
      </w:pPr>
    </w:p>
    <w:p>
      <w:pPr>
        <w:adjustRightInd w:val="0"/>
        <w:snapToGrid w:val="0"/>
        <w:spacing w:line="360" w:lineRule="auto"/>
        <w:ind w:firstLine="420" w:firstLineChars="200"/>
        <w:rPr>
          <w:rFonts w:hint="eastAsia" w:ascii="宋体" w:hAnsi="宋体" w:cs="宋体"/>
          <w:color w:val="auto"/>
          <w:szCs w:val="21"/>
          <w:highlight w:val="none"/>
        </w:rPr>
      </w:pP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 立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（公章）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法定代表人（或授权代表）：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adjustRightInd w:val="0"/>
        <w:snapToGrid w:val="0"/>
        <w:spacing w:line="360" w:lineRule="auto"/>
        <w:ind w:left="1323" w:leftChars="200" w:hanging="903" w:hangingChars="430"/>
        <w:rPr>
          <w:rFonts w:hint="eastAsia" w:ascii="宋体" w:hAnsi="宋体" w:cs="宋体"/>
          <w:color w:val="auto"/>
          <w:szCs w:val="21"/>
          <w:highlight w:val="none"/>
        </w:rPr>
      </w:pPr>
      <w:r>
        <w:rPr>
          <w:rFonts w:hint="eastAsia" w:ascii="宋体" w:hAnsi="宋体" w:cs="宋体"/>
          <w:color w:val="auto"/>
          <w:szCs w:val="21"/>
          <w:highlight w:val="none"/>
        </w:rPr>
        <w:t>开立时间：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rPr>
          <w:rFonts w:hint="eastAsia" w:ascii="宋体" w:hAnsi="宋体" w:cs="宋体"/>
          <w:bCs/>
          <w:color w:val="auto"/>
          <w:sz w:val="24"/>
          <w:highlight w:val="none"/>
        </w:rPr>
      </w:pPr>
      <w:bookmarkStart w:id="973" w:name="_Toc95223510"/>
      <w:r>
        <w:rPr>
          <w:rFonts w:hint="eastAsia" w:ascii="宋体" w:hAnsi="宋体" w:cs="宋体"/>
          <w:bCs/>
          <w:color w:val="auto"/>
          <w:sz w:val="24"/>
          <w:highlight w:val="none"/>
        </w:rPr>
        <w:br w:type="page"/>
      </w:r>
    </w:p>
    <w:p>
      <w:pPr>
        <w:keepNext/>
        <w:keepLines/>
        <w:adjustRightInd w:val="0"/>
        <w:snapToGrid w:val="0"/>
        <w:spacing w:line="360" w:lineRule="auto"/>
        <w:jc w:val="left"/>
        <w:outlineLvl w:val="2"/>
        <w:rPr>
          <w:rFonts w:hint="eastAsia" w:ascii="宋体" w:hAnsi="宋体" w:cs="宋体"/>
          <w:bCs/>
          <w:color w:val="auto"/>
          <w:sz w:val="24"/>
          <w:highlight w:val="none"/>
        </w:rPr>
      </w:pPr>
      <w:r>
        <w:rPr>
          <w:rFonts w:hint="eastAsia" w:ascii="宋体" w:hAnsi="宋体" w:cs="宋体"/>
          <w:bCs/>
          <w:color w:val="auto"/>
          <w:sz w:val="24"/>
          <w:highlight w:val="none"/>
        </w:rPr>
        <w:t>附件</w:t>
      </w:r>
      <w:r>
        <w:rPr>
          <w:rFonts w:hint="eastAsia" w:ascii="宋体" w:hAnsi="宋体" w:cs="宋体"/>
          <w:bCs/>
          <w:color w:val="auto"/>
          <w:sz w:val="24"/>
          <w:highlight w:val="none"/>
          <w:lang w:val="en-US" w:eastAsia="zh-CN"/>
        </w:rPr>
        <w:t>8</w:t>
      </w:r>
      <w:r>
        <w:rPr>
          <w:rFonts w:hint="eastAsia" w:ascii="宋体" w:hAnsi="宋体" w:cs="宋体"/>
          <w:bCs/>
          <w:color w:val="auto"/>
          <w:sz w:val="24"/>
          <w:highlight w:val="none"/>
        </w:rPr>
        <w:t>：暂估价一览表</w:t>
      </w:r>
      <w:bookmarkEnd w:id="973"/>
    </w:p>
    <w:p>
      <w:pPr>
        <w:spacing w:before="120" w:beforeLines="50" w:after="120" w:afterLines="50"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12-1：材料暂估价表</w:t>
      </w:r>
    </w:p>
    <w:tbl>
      <w:tblPr>
        <w:tblStyle w:val="4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98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名称</w:t>
            </w:r>
          </w:p>
        </w:tc>
        <w:tc>
          <w:tcPr>
            <w:tcW w:w="85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77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352"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单价（元）</w:t>
            </w:r>
          </w:p>
        </w:tc>
        <w:tc>
          <w:tcPr>
            <w:tcW w:w="1418"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合价（元）</w:t>
            </w:r>
          </w:p>
        </w:tc>
        <w:tc>
          <w:tcPr>
            <w:tcW w:w="170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98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85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77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352"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418"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70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keepNext/>
              <w:spacing w:line="440" w:lineRule="exact"/>
              <w:rPr>
                <w:rFonts w:hint="eastAsia" w:ascii="宋体" w:hAnsi="宋体" w:cs="宋体"/>
                <w:color w:val="auto"/>
                <w:szCs w:val="21"/>
                <w:highlight w:val="none"/>
              </w:rPr>
            </w:pPr>
          </w:p>
        </w:tc>
        <w:tc>
          <w:tcPr>
            <w:tcW w:w="1984" w:type="dxa"/>
            <w:tcBorders>
              <w:top w:val="nil"/>
            </w:tcBorders>
            <w:noWrap w:val="0"/>
            <w:vAlign w:val="top"/>
          </w:tcPr>
          <w:p>
            <w:pPr>
              <w:keepNext/>
              <w:spacing w:line="440" w:lineRule="exact"/>
              <w:rPr>
                <w:rFonts w:hint="eastAsia" w:ascii="宋体" w:hAnsi="宋体" w:cs="宋体"/>
                <w:color w:val="auto"/>
                <w:szCs w:val="21"/>
                <w:highlight w:val="none"/>
              </w:rPr>
            </w:pPr>
          </w:p>
        </w:tc>
        <w:tc>
          <w:tcPr>
            <w:tcW w:w="851" w:type="dxa"/>
            <w:tcBorders>
              <w:top w:val="nil"/>
            </w:tcBorders>
            <w:noWrap w:val="0"/>
            <w:vAlign w:val="top"/>
          </w:tcPr>
          <w:p>
            <w:pPr>
              <w:keepNext/>
              <w:spacing w:line="440" w:lineRule="exact"/>
              <w:rPr>
                <w:rFonts w:hint="eastAsia" w:ascii="宋体" w:hAnsi="宋体" w:cs="宋体"/>
                <w:color w:val="auto"/>
                <w:szCs w:val="21"/>
                <w:highlight w:val="none"/>
              </w:rPr>
            </w:pPr>
          </w:p>
        </w:tc>
        <w:tc>
          <w:tcPr>
            <w:tcW w:w="774" w:type="dxa"/>
            <w:tcBorders>
              <w:top w:val="nil"/>
            </w:tcBorders>
            <w:noWrap w:val="0"/>
            <w:vAlign w:val="top"/>
          </w:tcPr>
          <w:p>
            <w:pPr>
              <w:keepNext/>
              <w:spacing w:line="440" w:lineRule="exact"/>
              <w:rPr>
                <w:rFonts w:hint="eastAsia" w:ascii="宋体" w:hAnsi="宋体" w:cs="宋体"/>
                <w:color w:val="auto"/>
                <w:szCs w:val="21"/>
                <w:highlight w:val="none"/>
              </w:rPr>
            </w:pPr>
          </w:p>
        </w:tc>
        <w:tc>
          <w:tcPr>
            <w:tcW w:w="1352" w:type="dxa"/>
            <w:tcBorders>
              <w:top w:val="nil"/>
            </w:tcBorders>
            <w:noWrap w:val="0"/>
            <w:vAlign w:val="top"/>
          </w:tcPr>
          <w:p>
            <w:pPr>
              <w:keepNext/>
              <w:spacing w:line="440" w:lineRule="exact"/>
              <w:rPr>
                <w:rFonts w:hint="eastAsia" w:ascii="宋体" w:hAnsi="宋体" w:cs="宋体"/>
                <w:color w:val="auto"/>
                <w:szCs w:val="21"/>
                <w:highlight w:val="none"/>
              </w:rPr>
            </w:pPr>
          </w:p>
        </w:tc>
        <w:tc>
          <w:tcPr>
            <w:tcW w:w="1418" w:type="dxa"/>
            <w:tcBorders>
              <w:top w:val="nil"/>
            </w:tcBorders>
            <w:noWrap w:val="0"/>
            <w:vAlign w:val="top"/>
          </w:tcPr>
          <w:p>
            <w:pPr>
              <w:keepNext/>
              <w:spacing w:line="440" w:lineRule="exact"/>
              <w:rPr>
                <w:rFonts w:hint="eastAsia" w:ascii="宋体" w:hAnsi="宋体" w:cs="宋体"/>
                <w:color w:val="auto"/>
                <w:szCs w:val="21"/>
                <w:highlight w:val="none"/>
              </w:rPr>
            </w:pPr>
          </w:p>
        </w:tc>
        <w:tc>
          <w:tcPr>
            <w:tcW w:w="1701" w:type="dxa"/>
            <w:tcBorders>
              <w:top w:val="nil"/>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rPr>
                <w:rFonts w:hint="eastAsia" w:ascii="宋体" w:hAnsi="宋体" w:cs="宋体"/>
                <w:color w:val="auto"/>
                <w:szCs w:val="21"/>
                <w:highlight w:val="none"/>
              </w:rPr>
            </w:pPr>
          </w:p>
        </w:tc>
        <w:tc>
          <w:tcPr>
            <w:tcW w:w="1984" w:type="dxa"/>
            <w:noWrap w:val="0"/>
            <w:vAlign w:val="top"/>
          </w:tcPr>
          <w:p>
            <w:pPr>
              <w:keepNext/>
              <w:spacing w:line="440" w:lineRule="exact"/>
              <w:rPr>
                <w:rFonts w:hint="eastAsia" w:ascii="宋体" w:hAnsi="宋体" w:cs="宋体"/>
                <w:color w:val="auto"/>
                <w:szCs w:val="21"/>
                <w:highlight w:val="none"/>
              </w:rPr>
            </w:pPr>
          </w:p>
        </w:tc>
        <w:tc>
          <w:tcPr>
            <w:tcW w:w="851" w:type="dxa"/>
            <w:noWrap w:val="0"/>
            <w:vAlign w:val="top"/>
          </w:tcPr>
          <w:p>
            <w:pPr>
              <w:keepNext/>
              <w:spacing w:line="440" w:lineRule="exact"/>
              <w:rPr>
                <w:rFonts w:hint="eastAsia" w:ascii="宋体" w:hAnsi="宋体" w:cs="宋体"/>
                <w:color w:val="auto"/>
                <w:szCs w:val="21"/>
                <w:highlight w:val="none"/>
              </w:rPr>
            </w:pPr>
          </w:p>
        </w:tc>
        <w:tc>
          <w:tcPr>
            <w:tcW w:w="774" w:type="dxa"/>
            <w:noWrap w:val="0"/>
            <w:vAlign w:val="top"/>
          </w:tcPr>
          <w:p>
            <w:pPr>
              <w:keepNext/>
              <w:spacing w:line="440" w:lineRule="exact"/>
              <w:rPr>
                <w:rFonts w:hint="eastAsia" w:ascii="宋体" w:hAnsi="宋体" w:cs="宋体"/>
                <w:color w:val="auto"/>
                <w:szCs w:val="21"/>
                <w:highlight w:val="none"/>
              </w:rPr>
            </w:pPr>
          </w:p>
        </w:tc>
        <w:tc>
          <w:tcPr>
            <w:tcW w:w="1352" w:type="dxa"/>
            <w:noWrap w:val="0"/>
            <w:vAlign w:val="top"/>
          </w:tcPr>
          <w:p>
            <w:pPr>
              <w:keepNext/>
              <w:spacing w:line="440" w:lineRule="exact"/>
              <w:rPr>
                <w:rFonts w:hint="eastAsia" w:ascii="宋体" w:hAnsi="宋体" w:cs="宋体"/>
                <w:color w:val="auto"/>
                <w:szCs w:val="21"/>
                <w:highlight w:val="none"/>
              </w:rPr>
            </w:pPr>
          </w:p>
        </w:tc>
        <w:tc>
          <w:tcPr>
            <w:tcW w:w="1418" w:type="dxa"/>
            <w:noWrap w:val="0"/>
            <w:vAlign w:val="top"/>
          </w:tcPr>
          <w:p>
            <w:pPr>
              <w:keepNext/>
              <w:spacing w:line="440" w:lineRule="exact"/>
              <w:rPr>
                <w:rFonts w:hint="eastAsia" w:ascii="宋体" w:hAnsi="宋体" w:cs="宋体"/>
                <w:color w:val="auto"/>
                <w:szCs w:val="21"/>
                <w:highlight w:val="none"/>
              </w:rPr>
            </w:pPr>
          </w:p>
        </w:tc>
        <w:tc>
          <w:tcPr>
            <w:tcW w:w="1701" w:type="dxa"/>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rPr>
                <w:rFonts w:hint="eastAsia" w:ascii="宋体" w:hAnsi="宋体" w:cs="宋体"/>
                <w:color w:val="auto"/>
                <w:szCs w:val="21"/>
                <w:highlight w:val="none"/>
              </w:rPr>
            </w:pPr>
          </w:p>
        </w:tc>
        <w:tc>
          <w:tcPr>
            <w:tcW w:w="1984" w:type="dxa"/>
            <w:noWrap w:val="0"/>
            <w:vAlign w:val="top"/>
          </w:tcPr>
          <w:p>
            <w:pPr>
              <w:keepNext/>
              <w:spacing w:line="440" w:lineRule="exact"/>
              <w:rPr>
                <w:rFonts w:hint="eastAsia" w:ascii="宋体" w:hAnsi="宋体" w:cs="宋体"/>
                <w:color w:val="auto"/>
                <w:szCs w:val="21"/>
                <w:highlight w:val="none"/>
              </w:rPr>
            </w:pPr>
          </w:p>
        </w:tc>
        <w:tc>
          <w:tcPr>
            <w:tcW w:w="851" w:type="dxa"/>
            <w:noWrap w:val="0"/>
            <w:vAlign w:val="top"/>
          </w:tcPr>
          <w:p>
            <w:pPr>
              <w:keepNext/>
              <w:spacing w:line="440" w:lineRule="exact"/>
              <w:rPr>
                <w:rFonts w:hint="eastAsia" w:ascii="宋体" w:hAnsi="宋体" w:cs="宋体"/>
                <w:color w:val="auto"/>
                <w:szCs w:val="21"/>
                <w:highlight w:val="none"/>
              </w:rPr>
            </w:pPr>
          </w:p>
        </w:tc>
        <w:tc>
          <w:tcPr>
            <w:tcW w:w="774" w:type="dxa"/>
            <w:noWrap w:val="0"/>
            <w:vAlign w:val="top"/>
          </w:tcPr>
          <w:p>
            <w:pPr>
              <w:keepNext/>
              <w:spacing w:line="440" w:lineRule="exact"/>
              <w:rPr>
                <w:rFonts w:hint="eastAsia" w:ascii="宋体" w:hAnsi="宋体" w:cs="宋体"/>
                <w:color w:val="auto"/>
                <w:szCs w:val="21"/>
                <w:highlight w:val="none"/>
              </w:rPr>
            </w:pPr>
          </w:p>
        </w:tc>
        <w:tc>
          <w:tcPr>
            <w:tcW w:w="1352" w:type="dxa"/>
            <w:noWrap w:val="0"/>
            <w:vAlign w:val="top"/>
          </w:tcPr>
          <w:p>
            <w:pPr>
              <w:keepNext/>
              <w:spacing w:line="440" w:lineRule="exact"/>
              <w:rPr>
                <w:rFonts w:hint="eastAsia" w:ascii="宋体" w:hAnsi="宋体" w:cs="宋体"/>
                <w:color w:val="auto"/>
                <w:szCs w:val="21"/>
                <w:highlight w:val="none"/>
              </w:rPr>
            </w:pPr>
          </w:p>
        </w:tc>
        <w:tc>
          <w:tcPr>
            <w:tcW w:w="1418" w:type="dxa"/>
            <w:noWrap w:val="0"/>
            <w:vAlign w:val="top"/>
          </w:tcPr>
          <w:p>
            <w:pPr>
              <w:keepNext/>
              <w:spacing w:line="440" w:lineRule="exact"/>
              <w:rPr>
                <w:rFonts w:hint="eastAsia" w:ascii="宋体" w:hAnsi="宋体" w:cs="宋体"/>
                <w:color w:val="auto"/>
                <w:szCs w:val="21"/>
                <w:highlight w:val="none"/>
              </w:rPr>
            </w:pPr>
          </w:p>
        </w:tc>
        <w:tc>
          <w:tcPr>
            <w:tcW w:w="1701" w:type="dxa"/>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98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85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77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352"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418"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70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r>
    </w:tbl>
    <w:p>
      <w:pPr>
        <w:spacing w:before="120" w:beforeLines="50" w:after="120" w:afterLines="50" w:line="440" w:lineRule="exact"/>
        <w:rPr>
          <w:rFonts w:hint="eastAsia" w:ascii="宋体" w:hAnsi="宋体" w:cs="宋体"/>
          <w:color w:val="auto"/>
          <w:szCs w:val="21"/>
          <w:highlight w:val="none"/>
        </w:rPr>
      </w:pPr>
    </w:p>
    <w:p>
      <w:pPr>
        <w:spacing w:before="120" w:beforeLines="50" w:after="120" w:afterLines="50"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12-2：工程设备暂估价表</w:t>
      </w:r>
    </w:p>
    <w:tbl>
      <w:tblPr>
        <w:tblStyle w:val="4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98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名称</w:t>
            </w:r>
          </w:p>
        </w:tc>
        <w:tc>
          <w:tcPr>
            <w:tcW w:w="85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77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352"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单价（元）</w:t>
            </w:r>
          </w:p>
        </w:tc>
        <w:tc>
          <w:tcPr>
            <w:tcW w:w="1418"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合价（元）</w:t>
            </w:r>
          </w:p>
        </w:tc>
        <w:tc>
          <w:tcPr>
            <w:tcW w:w="170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98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85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77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352"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418"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70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keepNext/>
              <w:spacing w:line="440" w:lineRule="exact"/>
              <w:rPr>
                <w:rFonts w:hint="eastAsia" w:ascii="宋体" w:hAnsi="宋体" w:cs="宋体"/>
                <w:color w:val="auto"/>
                <w:szCs w:val="21"/>
                <w:highlight w:val="none"/>
              </w:rPr>
            </w:pPr>
          </w:p>
        </w:tc>
        <w:tc>
          <w:tcPr>
            <w:tcW w:w="1984" w:type="dxa"/>
            <w:tcBorders>
              <w:top w:val="nil"/>
            </w:tcBorders>
            <w:noWrap w:val="0"/>
            <w:vAlign w:val="top"/>
          </w:tcPr>
          <w:p>
            <w:pPr>
              <w:keepNext/>
              <w:spacing w:line="440" w:lineRule="exact"/>
              <w:rPr>
                <w:rFonts w:hint="eastAsia" w:ascii="宋体" w:hAnsi="宋体" w:cs="宋体"/>
                <w:color w:val="auto"/>
                <w:szCs w:val="21"/>
                <w:highlight w:val="none"/>
              </w:rPr>
            </w:pPr>
          </w:p>
        </w:tc>
        <w:tc>
          <w:tcPr>
            <w:tcW w:w="851" w:type="dxa"/>
            <w:tcBorders>
              <w:top w:val="nil"/>
            </w:tcBorders>
            <w:noWrap w:val="0"/>
            <w:vAlign w:val="top"/>
          </w:tcPr>
          <w:p>
            <w:pPr>
              <w:keepNext/>
              <w:spacing w:line="440" w:lineRule="exact"/>
              <w:rPr>
                <w:rFonts w:hint="eastAsia" w:ascii="宋体" w:hAnsi="宋体" w:cs="宋体"/>
                <w:color w:val="auto"/>
                <w:szCs w:val="21"/>
                <w:highlight w:val="none"/>
              </w:rPr>
            </w:pPr>
          </w:p>
        </w:tc>
        <w:tc>
          <w:tcPr>
            <w:tcW w:w="774" w:type="dxa"/>
            <w:tcBorders>
              <w:top w:val="nil"/>
            </w:tcBorders>
            <w:noWrap w:val="0"/>
            <w:vAlign w:val="top"/>
          </w:tcPr>
          <w:p>
            <w:pPr>
              <w:keepNext/>
              <w:spacing w:line="440" w:lineRule="exact"/>
              <w:rPr>
                <w:rFonts w:hint="eastAsia" w:ascii="宋体" w:hAnsi="宋体" w:cs="宋体"/>
                <w:color w:val="auto"/>
                <w:szCs w:val="21"/>
                <w:highlight w:val="none"/>
              </w:rPr>
            </w:pPr>
          </w:p>
        </w:tc>
        <w:tc>
          <w:tcPr>
            <w:tcW w:w="1352" w:type="dxa"/>
            <w:tcBorders>
              <w:top w:val="nil"/>
            </w:tcBorders>
            <w:noWrap w:val="0"/>
            <w:vAlign w:val="top"/>
          </w:tcPr>
          <w:p>
            <w:pPr>
              <w:keepNext/>
              <w:spacing w:line="440" w:lineRule="exact"/>
              <w:rPr>
                <w:rFonts w:hint="eastAsia" w:ascii="宋体" w:hAnsi="宋体" w:cs="宋体"/>
                <w:color w:val="auto"/>
                <w:szCs w:val="21"/>
                <w:highlight w:val="none"/>
              </w:rPr>
            </w:pPr>
          </w:p>
        </w:tc>
        <w:tc>
          <w:tcPr>
            <w:tcW w:w="1418" w:type="dxa"/>
            <w:tcBorders>
              <w:top w:val="nil"/>
            </w:tcBorders>
            <w:noWrap w:val="0"/>
            <w:vAlign w:val="top"/>
          </w:tcPr>
          <w:p>
            <w:pPr>
              <w:keepNext/>
              <w:spacing w:line="440" w:lineRule="exact"/>
              <w:rPr>
                <w:rFonts w:hint="eastAsia" w:ascii="宋体" w:hAnsi="宋体" w:cs="宋体"/>
                <w:color w:val="auto"/>
                <w:szCs w:val="21"/>
                <w:highlight w:val="none"/>
              </w:rPr>
            </w:pPr>
          </w:p>
        </w:tc>
        <w:tc>
          <w:tcPr>
            <w:tcW w:w="1701" w:type="dxa"/>
            <w:tcBorders>
              <w:top w:val="nil"/>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rPr>
                <w:rFonts w:hint="eastAsia" w:ascii="宋体" w:hAnsi="宋体" w:cs="宋体"/>
                <w:color w:val="auto"/>
                <w:szCs w:val="21"/>
                <w:highlight w:val="none"/>
              </w:rPr>
            </w:pPr>
          </w:p>
        </w:tc>
        <w:tc>
          <w:tcPr>
            <w:tcW w:w="1984" w:type="dxa"/>
            <w:noWrap w:val="0"/>
            <w:vAlign w:val="top"/>
          </w:tcPr>
          <w:p>
            <w:pPr>
              <w:keepNext/>
              <w:spacing w:line="440" w:lineRule="exact"/>
              <w:rPr>
                <w:rFonts w:hint="eastAsia" w:ascii="宋体" w:hAnsi="宋体" w:cs="宋体"/>
                <w:color w:val="auto"/>
                <w:szCs w:val="21"/>
                <w:highlight w:val="none"/>
              </w:rPr>
            </w:pPr>
          </w:p>
        </w:tc>
        <w:tc>
          <w:tcPr>
            <w:tcW w:w="851" w:type="dxa"/>
            <w:noWrap w:val="0"/>
            <w:vAlign w:val="top"/>
          </w:tcPr>
          <w:p>
            <w:pPr>
              <w:keepNext/>
              <w:spacing w:line="440" w:lineRule="exact"/>
              <w:rPr>
                <w:rFonts w:hint="eastAsia" w:ascii="宋体" w:hAnsi="宋体" w:cs="宋体"/>
                <w:color w:val="auto"/>
                <w:szCs w:val="21"/>
                <w:highlight w:val="none"/>
              </w:rPr>
            </w:pPr>
          </w:p>
        </w:tc>
        <w:tc>
          <w:tcPr>
            <w:tcW w:w="774" w:type="dxa"/>
            <w:noWrap w:val="0"/>
            <w:vAlign w:val="top"/>
          </w:tcPr>
          <w:p>
            <w:pPr>
              <w:keepNext/>
              <w:spacing w:line="440" w:lineRule="exact"/>
              <w:rPr>
                <w:rFonts w:hint="eastAsia" w:ascii="宋体" w:hAnsi="宋体" w:cs="宋体"/>
                <w:color w:val="auto"/>
                <w:szCs w:val="21"/>
                <w:highlight w:val="none"/>
              </w:rPr>
            </w:pPr>
          </w:p>
        </w:tc>
        <w:tc>
          <w:tcPr>
            <w:tcW w:w="1352" w:type="dxa"/>
            <w:noWrap w:val="0"/>
            <w:vAlign w:val="top"/>
          </w:tcPr>
          <w:p>
            <w:pPr>
              <w:keepNext/>
              <w:spacing w:line="440" w:lineRule="exact"/>
              <w:rPr>
                <w:rFonts w:hint="eastAsia" w:ascii="宋体" w:hAnsi="宋体" w:cs="宋体"/>
                <w:color w:val="auto"/>
                <w:szCs w:val="21"/>
                <w:highlight w:val="none"/>
              </w:rPr>
            </w:pPr>
          </w:p>
        </w:tc>
        <w:tc>
          <w:tcPr>
            <w:tcW w:w="1418" w:type="dxa"/>
            <w:noWrap w:val="0"/>
            <w:vAlign w:val="top"/>
          </w:tcPr>
          <w:p>
            <w:pPr>
              <w:keepNext/>
              <w:spacing w:line="440" w:lineRule="exact"/>
              <w:rPr>
                <w:rFonts w:hint="eastAsia" w:ascii="宋体" w:hAnsi="宋体" w:cs="宋体"/>
                <w:color w:val="auto"/>
                <w:szCs w:val="21"/>
                <w:highlight w:val="none"/>
              </w:rPr>
            </w:pPr>
          </w:p>
        </w:tc>
        <w:tc>
          <w:tcPr>
            <w:tcW w:w="1701" w:type="dxa"/>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98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85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77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352"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418"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70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r>
    </w:tbl>
    <w:p>
      <w:pPr>
        <w:spacing w:line="440" w:lineRule="exact"/>
        <w:rPr>
          <w:rFonts w:hint="eastAsia" w:ascii="宋体" w:hAnsi="宋体" w:cs="宋体"/>
          <w:color w:val="auto"/>
          <w:szCs w:val="21"/>
          <w:highlight w:val="none"/>
        </w:rPr>
      </w:pPr>
    </w:p>
    <w:p>
      <w:pPr>
        <w:spacing w:before="120" w:beforeLines="50" w:after="120" w:afterLines="50"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12-3：专业工程暂估价表</w:t>
      </w:r>
    </w:p>
    <w:tbl>
      <w:tblPr>
        <w:tblStyle w:val="4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98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名称</w:t>
            </w:r>
          </w:p>
        </w:tc>
        <w:tc>
          <w:tcPr>
            <w:tcW w:w="85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774"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352"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单价（元）</w:t>
            </w:r>
          </w:p>
        </w:tc>
        <w:tc>
          <w:tcPr>
            <w:tcW w:w="1418"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合价（元）</w:t>
            </w:r>
          </w:p>
        </w:tc>
        <w:tc>
          <w:tcPr>
            <w:tcW w:w="1701" w:type="dxa"/>
            <w:tcBorders>
              <w:top w:val="single" w:color="auto" w:sz="12" w:space="0"/>
              <w:bottom w:val="double" w:color="auto" w:sz="6" w:space="0"/>
            </w:tcBorders>
            <w:noWrap w:val="0"/>
            <w:vAlign w:val="top"/>
          </w:tcPr>
          <w:p>
            <w:pPr>
              <w:keepNext/>
              <w:spacing w:line="440" w:lineRule="exact"/>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98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85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774"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352"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418"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c>
          <w:tcPr>
            <w:tcW w:w="1701" w:type="dxa"/>
            <w:tcBorders>
              <w:top w:val="double" w:color="auto" w:sz="6" w:space="0"/>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keepNext/>
              <w:spacing w:line="440" w:lineRule="exact"/>
              <w:rPr>
                <w:rFonts w:hint="eastAsia" w:ascii="宋体" w:hAnsi="宋体" w:cs="宋体"/>
                <w:color w:val="auto"/>
                <w:szCs w:val="21"/>
                <w:highlight w:val="none"/>
              </w:rPr>
            </w:pPr>
          </w:p>
        </w:tc>
        <w:tc>
          <w:tcPr>
            <w:tcW w:w="1984" w:type="dxa"/>
            <w:tcBorders>
              <w:top w:val="nil"/>
            </w:tcBorders>
            <w:noWrap w:val="0"/>
            <w:vAlign w:val="top"/>
          </w:tcPr>
          <w:p>
            <w:pPr>
              <w:keepNext/>
              <w:spacing w:line="440" w:lineRule="exact"/>
              <w:rPr>
                <w:rFonts w:hint="eastAsia" w:ascii="宋体" w:hAnsi="宋体" w:cs="宋体"/>
                <w:color w:val="auto"/>
                <w:szCs w:val="21"/>
                <w:highlight w:val="none"/>
              </w:rPr>
            </w:pPr>
          </w:p>
        </w:tc>
        <w:tc>
          <w:tcPr>
            <w:tcW w:w="851" w:type="dxa"/>
            <w:tcBorders>
              <w:top w:val="nil"/>
            </w:tcBorders>
            <w:noWrap w:val="0"/>
            <w:vAlign w:val="top"/>
          </w:tcPr>
          <w:p>
            <w:pPr>
              <w:keepNext/>
              <w:spacing w:line="440" w:lineRule="exact"/>
              <w:rPr>
                <w:rFonts w:hint="eastAsia" w:ascii="宋体" w:hAnsi="宋体" w:cs="宋体"/>
                <w:color w:val="auto"/>
                <w:szCs w:val="21"/>
                <w:highlight w:val="none"/>
              </w:rPr>
            </w:pPr>
          </w:p>
        </w:tc>
        <w:tc>
          <w:tcPr>
            <w:tcW w:w="774" w:type="dxa"/>
            <w:tcBorders>
              <w:top w:val="nil"/>
            </w:tcBorders>
            <w:noWrap w:val="0"/>
            <w:vAlign w:val="top"/>
          </w:tcPr>
          <w:p>
            <w:pPr>
              <w:keepNext/>
              <w:spacing w:line="440" w:lineRule="exact"/>
              <w:rPr>
                <w:rFonts w:hint="eastAsia" w:ascii="宋体" w:hAnsi="宋体" w:cs="宋体"/>
                <w:color w:val="auto"/>
                <w:szCs w:val="21"/>
                <w:highlight w:val="none"/>
              </w:rPr>
            </w:pPr>
          </w:p>
        </w:tc>
        <w:tc>
          <w:tcPr>
            <w:tcW w:w="1352" w:type="dxa"/>
            <w:tcBorders>
              <w:top w:val="nil"/>
            </w:tcBorders>
            <w:noWrap w:val="0"/>
            <w:vAlign w:val="top"/>
          </w:tcPr>
          <w:p>
            <w:pPr>
              <w:keepNext/>
              <w:spacing w:line="440" w:lineRule="exact"/>
              <w:rPr>
                <w:rFonts w:hint="eastAsia" w:ascii="宋体" w:hAnsi="宋体" w:cs="宋体"/>
                <w:color w:val="auto"/>
                <w:szCs w:val="21"/>
                <w:highlight w:val="none"/>
              </w:rPr>
            </w:pPr>
          </w:p>
        </w:tc>
        <w:tc>
          <w:tcPr>
            <w:tcW w:w="1418" w:type="dxa"/>
            <w:tcBorders>
              <w:top w:val="nil"/>
            </w:tcBorders>
            <w:noWrap w:val="0"/>
            <w:vAlign w:val="top"/>
          </w:tcPr>
          <w:p>
            <w:pPr>
              <w:keepNext/>
              <w:spacing w:line="440" w:lineRule="exact"/>
              <w:rPr>
                <w:rFonts w:hint="eastAsia" w:ascii="宋体" w:hAnsi="宋体" w:cs="宋体"/>
                <w:color w:val="auto"/>
                <w:szCs w:val="21"/>
                <w:highlight w:val="none"/>
              </w:rPr>
            </w:pPr>
          </w:p>
        </w:tc>
        <w:tc>
          <w:tcPr>
            <w:tcW w:w="1701" w:type="dxa"/>
            <w:tcBorders>
              <w:top w:val="nil"/>
            </w:tcBorders>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rPr>
                <w:rFonts w:hint="eastAsia" w:ascii="宋体" w:hAnsi="宋体" w:cs="宋体"/>
                <w:color w:val="auto"/>
                <w:szCs w:val="21"/>
                <w:highlight w:val="none"/>
              </w:rPr>
            </w:pPr>
          </w:p>
        </w:tc>
        <w:tc>
          <w:tcPr>
            <w:tcW w:w="1984" w:type="dxa"/>
            <w:noWrap w:val="0"/>
            <w:vAlign w:val="top"/>
          </w:tcPr>
          <w:p>
            <w:pPr>
              <w:keepNext/>
              <w:spacing w:line="440" w:lineRule="exact"/>
              <w:rPr>
                <w:rFonts w:hint="eastAsia" w:ascii="宋体" w:hAnsi="宋体" w:cs="宋体"/>
                <w:color w:val="auto"/>
                <w:szCs w:val="21"/>
                <w:highlight w:val="none"/>
              </w:rPr>
            </w:pPr>
          </w:p>
        </w:tc>
        <w:tc>
          <w:tcPr>
            <w:tcW w:w="851" w:type="dxa"/>
            <w:noWrap w:val="0"/>
            <w:vAlign w:val="top"/>
          </w:tcPr>
          <w:p>
            <w:pPr>
              <w:keepNext/>
              <w:spacing w:line="440" w:lineRule="exact"/>
              <w:rPr>
                <w:rFonts w:hint="eastAsia" w:ascii="宋体" w:hAnsi="宋体" w:cs="宋体"/>
                <w:color w:val="auto"/>
                <w:szCs w:val="21"/>
                <w:highlight w:val="none"/>
              </w:rPr>
            </w:pPr>
          </w:p>
        </w:tc>
        <w:tc>
          <w:tcPr>
            <w:tcW w:w="774" w:type="dxa"/>
            <w:noWrap w:val="0"/>
            <w:vAlign w:val="top"/>
          </w:tcPr>
          <w:p>
            <w:pPr>
              <w:keepNext/>
              <w:spacing w:line="440" w:lineRule="exact"/>
              <w:rPr>
                <w:rFonts w:hint="eastAsia" w:ascii="宋体" w:hAnsi="宋体" w:cs="宋体"/>
                <w:color w:val="auto"/>
                <w:szCs w:val="21"/>
                <w:highlight w:val="none"/>
              </w:rPr>
            </w:pPr>
          </w:p>
        </w:tc>
        <w:tc>
          <w:tcPr>
            <w:tcW w:w="1352" w:type="dxa"/>
            <w:noWrap w:val="0"/>
            <w:vAlign w:val="top"/>
          </w:tcPr>
          <w:p>
            <w:pPr>
              <w:keepNext/>
              <w:spacing w:line="440" w:lineRule="exact"/>
              <w:rPr>
                <w:rFonts w:hint="eastAsia" w:ascii="宋体" w:hAnsi="宋体" w:cs="宋体"/>
                <w:color w:val="auto"/>
                <w:szCs w:val="21"/>
                <w:highlight w:val="none"/>
              </w:rPr>
            </w:pPr>
          </w:p>
        </w:tc>
        <w:tc>
          <w:tcPr>
            <w:tcW w:w="1418" w:type="dxa"/>
            <w:noWrap w:val="0"/>
            <w:vAlign w:val="top"/>
          </w:tcPr>
          <w:p>
            <w:pPr>
              <w:keepNext/>
              <w:spacing w:line="440" w:lineRule="exact"/>
              <w:rPr>
                <w:rFonts w:hint="eastAsia" w:ascii="宋体" w:hAnsi="宋体" w:cs="宋体"/>
                <w:color w:val="auto"/>
                <w:szCs w:val="21"/>
                <w:highlight w:val="none"/>
              </w:rPr>
            </w:pPr>
          </w:p>
        </w:tc>
        <w:tc>
          <w:tcPr>
            <w:tcW w:w="1701" w:type="dxa"/>
            <w:noWrap w:val="0"/>
            <w:vAlign w:val="top"/>
          </w:tcPr>
          <w:p>
            <w:pPr>
              <w:keepNext/>
              <w:spacing w:line="440" w:lineRule="exact"/>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98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85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774"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352"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418"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c>
          <w:tcPr>
            <w:tcW w:w="1701" w:type="dxa"/>
            <w:tcBorders>
              <w:bottom w:val="single" w:color="auto" w:sz="12" w:space="0"/>
            </w:tcBorders>
            <w:noWrap w:val="0"/>
            <w:vAlign w:val="top"/>
          </w:tcPr>
          <w:p>
            <w:pPr>
              <w:keepNext/>
              <w:spacing w:line="440" w:lineRule="exact"/>
              <w:rPr>
                <w:rFonts w:hint="eastAsia" w:ascii="宋体" w:hAnsi="宋体" w:cs="宋体"/>
                <w:color w:val="auto"/>
                <w:szCs w:val="21"/>
                <w:highlight w:val="none"/>
              </w:rPr>
            </w:pPr>
          </w:p>
        </w:tc>
      </w:tr>
    </w:tbl>
    <w:p>
      <w:pPr>
        <w:rPr>
          <w:rFonts w:hint="eastAsia" w:ascii="宋体" w:hAnsi="宋体" w:cs="宋体"/>
          <w:color w:val="auto"/>
          <w:szCs w:val="21"/>
          <w:highlight w:val="none"/>
        </w:rPr>
      </w:pPr>
    </w:p>
    <w:p>
      <w:pPr>
        <w:rPr>
          <w:rFonts w:hint="eastAsia" w:ascii="宋体" w:hAnsi="宋体" w:cs="宋体"/>
          <w:color w:val="auto"/>
          <w:szCs w:val="22"/>
          <w:highlight w:val="none"/>
        </w:rPr>
      </w:pPr>
    </w:p>
    <w:p>
      <w:pPr>
        <w:rPr>
          <w:rFonts w:hint="eastAsia" w:ascii="宋体" w:hAnsi="宋体" w:cs="宋体"/>
          <w:color w:val="auto"/>
          <w:szCs w:val="22"/>
          <w:highlight w:val="none"/>
        </w:rPr>
      </w:pPr>
    </w:p>
    <w:p>
      <w:pPr>
        <w:keepNext/>
        <w:keepLines/>
        <w:spacing w:before="120" w:after="120" w:line="360" w:lineRule="auto"/>
        <w:jc w:val="left"/>
        <w:outlineLvl w:val="2"/>
        <w:rPr>
          <w:rFonts w:hint="eastAsia" w:ascii="宋体" w:hAnsi="宋体" w:cs="宋体"/>
          <w:color w:val="auto"/>
          <w:highlight w:val="none"/>
        </w:rPr>
        <w:sectPr>
          <w:footerReference r:id="rId6" w:type="default"/>
          <w:footnotePr>
            <w:numFmt w:val="decimalEnclosedCircleChinese"/>
            <w:numRestart w:val="eachPage"/>
          </w:footnotePr>
          <w:pgSz w:w="11907" w:h="16840"/>
          <w:pgMar w:top="1474" w:right="1474" w:bottom="1474" w:left="1474" w:header="799" w:footer="907" w:gutter="0"/>
          <w:pgNumType w:fmt="decimal" w:start="1"/>
          <w:cols w:space="720" w:num="1"/>
          <w:docGrid w:linePitch="271" w:charSpace="0"/>
        </w:sectPr>
      </w:pPr>
    </w:p>
    <w:p>
      <w:pPr>
        <w:keepNext/>
        <w:keepLines/>
        <w:spacing w:before="120" w:after="120" w:line="360" w:lineRule="auto"/>
        <w:jc w:val="left"/>
        <w:outlineLvl w:val="2"/>
        <w:rPr>
          <w:rFonts w:hint="eastAsia" w:ascii="宋体" w:hAnsi="宋体" w:cs="宋体"/>
          <w:bCs/>
          <w:color w:val="auto"/>
          <w:sz w:val="24"/>
          <w:highlight w:val="none"/>
        </w:rPr>
      </w:pPr>
      <w:bookmarkStart w:id="974" w:name="_Toc95223511"/>
      <w:r>
        <w:rPr>
          <w:rFonts w:hint="eastAsia" w:ascii="宋体" w:hAnsi="宋体" w:cs="宋体"/>
          <w:bCs/>
          <w:color w:val="auto"/>
          <w:sz w:val="24"/>
          <w:highlight w:val="none"/>
        </w:rPr>
        <w:t>附件</w:t>
      </w:r>
      <w:r>
        <w:rPr>
          <w:rFonts w:hint="eastAsia" w:ascii="宋体" w:hAnsi="宋体" w:cs="宋体"/>
          <w:bCs/>
          <w:color w:val="auto"/>
          <w:sz w:val="24"/>
          <w:highlight w:val="none"/>
          <w:lang w:val="en-US" w:eastAsia="zh-CN"/>
        </w:rPr>
        <w:t>9</w:t>
      </w:r>
      <w:r>
        <w:rPr>
          <w:rFonts w:hint="eastAsia" w:ascii="宋体" w:hAnsi="宋体" w:cs="宋体"/>
          <w:bCs/>
          <w:color w:val="auto"/>
          <w:sz w:val="24"/>
          <w:highlight w:val="none"/>
        </w:rPr>
        <w:t>：安全生产合同</w:t>
      </w:r>
      <w:bookmarkEnd w:id="974"/>
    </w:p>
    <w:p>
      <w:pPr>
        <w:adjustRightInd w:val="0"/>
        <w:snapToGrid w:val="0"/>
        <w:spacing w:line="360" w:lineRule="auto"/>
        <w:jc w:val="center"/>
        <w:outlineLvl w:val="0"/>
        <w:rPr>
          <w:rFonts w:hint="eastAsia" w:ascii="宋体" w:hAnsi="宋体" w:cs="宋体"/>
          <w:b/>
          <w:color w:val="auto"/>
          <w:sz w:val="32"/>
          <w:szCs w:val="32"/>
          <w:highlight w:val="none"/>
        </w:rPr>
      </w:pPr>
      <w:bookmarkStart w:id="975" w:name="_Toc16956"/>
      <w:bookmarkStart w:id="976" w:name="_Toc95223512"/>
      <w:bookmarkStart w:id="977" w:name="_Toc32439"/>
      <w:r>
        <w:rPr>
          <w:rFonts w:hint="eastAsia" w:ascii="宋体" w:hAnsi="宋体" w:cs="宋体"/>
          <w:b/>
          <w:color w:val="auto"/>
          <w:sz w:val="32"/>
          <w:szCs w:val="32"/>
          <w:highlight w:val="none"/>
        </w:rPr>
        <w:t>安全生产合同</w:t>
      </w:r>
      <w:bookmarkEnd w:id="975"/>
      <w:bookmarkEnd w:id="976"/>
      <w:bookmarkEnd w:id="977"/>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为在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（标段）施工合同的实施过程中创造安全、高效的施工环境，切实搞好本项目的安全管理工作，本项目发包人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（发包人名称，以下简称“发包人”）与承包人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（承包人名称，以下简称“承包人”）特此签订安全生产合同：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1.发包人职责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（1）严格遵守国家有关安全生产的法律法规，认真执行工程承包合同中的有关安全要求。</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（2）按照“安全第一、预防为主”和坚持“管生产必须管安全”的原则进行安全生产管理，做到生产与安全工作同时计划、布置、检查、总结和评比。</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（3）重要的安全设施必须坚持与主体工程“三同时”的原则，即：同时设计、审批，同时施工，同时验收，投入使用。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（4）定期召开安全生产调度会，及时传达中央及地方有关安全生产的精神。</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（5）组织对承包人施工现场安全生产检查，监督承包人及时处理发现的各种安全隐患。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2.承包人职责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（4）承包人在任何时候都应采取各种合理的预防措施，防止其员工发生任何违法、违禁、暴力或妨碍治安的行为。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（8）所有施工机具设备和高空作业的设备均应定期检查，并有安全员的签字记录，保证其经常处于完好状态；不合格的机具、设备和劳动保护用品严禁使用：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（9）施工中采用新技术、新工艺、新设备、新材料时，必须制定相应的安全技术措施，施工现场必须具有相关的安全标志牌。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（11）安全生产费用按照《建设工程安全生产管理条例》的相关规定使用和管理。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3.违约责任</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如因发包人或承包人违约造成安全事故，将依法追究责任。</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4.本合同由双方法定代表人或其授权的代理人签署并加盖单位章后生效，全部工程竣工验收后失效。</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5.本合同正本—式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份，合同双方各执正本—份，副本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份，当正本与副本的内容不一致时，以正本为准。</w:t>
      </w:r>
    </w:p>
    <w:p>
      <w:pPr>
        <w:spacing w:line="360" w:lineRule="auto"/>
        <w:rPr>
          <w:rFonts w:hint="eastAsia" w:ascii="宋体" w:hAnsi="宋体" w:cs="宋体"/>
          <w:color w:val="auto"/>
          <w:szCs w:val="21"/>
          <w:highlight w:val="none"/>
        </w:rPr>
      </w:pPr>
    </w:p>
    <w:p>
      <w:pPr>
        <w:spacing w:line="360" w:lineRule="auto"/>
        <w:rPr>
          <w:rFonts w:hint="eastAsia" w:ascii="宋体" w:hAnsi="宋体" w:cs="宋体"/>
          <w:color w:val="auto"/>
          <w:szCs w:val="21"/>
          <w:highlight w:val="none"/>
        </w:rPr>
      </w:pP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           承包人：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360" w:lineRule="auto"/>
        <w:rPr>
          <w:rFonts w:hint="eastAsia" w:ascii="宋体" w:hAnsi="宋体" w:cs="宋体"/>
          <w:color w:val="auto"/>
          <w:szCs w:val="21"/>
          <w:highlight w:val="none"/>
        </w:rPr>
      </w:pP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           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360" w:lineRule="auto"/>
        <w:rPr>
          <w:rFonts w:hint="eastAsia" w:ascii="宋体" w:hAnsi="宋体" w:cs="宋体"/>
          <w:color w:val="auto"/>
          <w:szCs w:val="21"/>
          <w:highlight w:val="none"/>
        </w:rPr>
      </w:pPr>
    </w:p>
    <w:p>
      <w:pPr>
        <w:spacing w:line="360" w:lineRule="auto"/>
        <w:ind w:firstLine="84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kern w:val="44"/>
          <w:sz w:val="32"/>
          <w:szCs w:val="44"/>
          <w:highlight w:val="none"/>
        </w:rPr>
        <w:br w:type="page"/>
      </w:r>
      <w:bookmarkStart w:id="978" w:name="_Toc95223513"/>
      <w:r>
        <w:rPr>
          <w:rFonts w:hint="eastAsia" w:ascii="宋体" w:hAnsi="宋体" w:cs="宋体"/>
          <w:bCs/>
          <w:color w:val="auto"/>
          <w:sz w:val="24"/>
          <w:highlight w:val="none"/>
        </w:rPr>
        <w:t>附件1</w:t>
      </w:r>
      <w:r>
        <w:rPr>
          <w:rFonts w:hint="eastAsia" w:ascii="宋体" w:hAnsi="宋体" w:cs="宋体"/>
          <w:bCs/>
          <w:color w:val="auto"/>
          <w:sz w:val="24"/>
          <w:highlight w:val="none"/>
          <w:lang w:val="en-US" w:eastAsia="zh-CN"/>
        </w:rPr>
        <w:t>0</w:t>
      </w:r>
      <w:r>
        <w:rPr>
          <w:rFonts w:hint="eastAsia" w:ascii="宋体" w:hAnsi="宋体" w:cs="宋体"/>
          <w:bCs/>
          <w:color w:val="auto"/>
          <w:sz w:val="24"/>
          <w:highlight w:val="none"/>
        </w:rPr>
        <w:t>：项目经理质量终身责任制承诺</w:t>
      </w:r>
      <w:bookmarkEnd w:id="978"/>
    </w:p>
    <w:p>
      <w:pPr>
        <w:keepNext/>
        <w:keepLines/>
        <w:spacing w:before="120" w:after="120" w:line="360" w:lineRule="auto"/>
        <w:jc w:val="left"/>
        <w:outlineLvl w:val="2"/>
        <w:rPr>
          <w:rFonts w:hint="eastAsia" w:ascii="宋体" w:hAnsi="宋体" w:cs="宋体"/>
          <w:bCs/>
          <w:color w:val="auto"/>
          <w:sz w:val="24"/>
          <w:highlight w:val="none"/>
        </w:rPr>
      </w:pPr>
    </w:p>
    <w:p>
      <w:pPr>
        <w:adjustRightInd w:val="0"/>
        <w:snapToGrid w:val="0"/>
        <w:spacing w:line="360" w:lineRule="auto"/>
        <w:jc w:val="center"/>
        <w:outlineLvl w:val="0"/>
        <w:rPr>
          <w:rFonts w:hint="eastAsia" w:ascii="宋体" w:hAnsi="宋体" w:cs="宋体"/>
          <w:b/>
          <w:color w:val="auto"/>
          <w:sz w:val="32"/>
          <w:szCs w:val="32"/>
          <w:highlight w:val="none"/>
        </w:rPr>
      </w:pPr>
      <w:bookmarkStart w:id="979" w:name="_Toc19059"/>
      <w:bookmarkStart w:id="980" w:name="_Toc95223514"/>
      <w:bookmarkStart w:id="981" w:name="_Toc20282"/>
      <w:r>
        <w:rPr>
          <w:rFonts w:hint="eastAsia" w:ascii="宋体" w:hAnsi="宋体" w:cs="宋体"/>
          <w:b/>
          <w:color w:val="auto"/>
          <w:sz w:val="32"/>
          <w:szCs w:val="32"/>
          <w:highlight w:val="none"/>
        </w:rPr>
        <w:t>项目经理质量终身责任制承诺</w:t>
      </w:r>
      <w:bookmarkEnd w:id="979"/>
      <w:bookmarkEnd w:id="980"/>
      <w:bookmarkEnd w:id="981"/>
    </w:p>
    <w:p>
      <w:pPr>
        <w:adjustRightInd w:val="0"/>
        <w:snapToGrid w:val="0"/>
        <w:spacing w:line="360" w:lineRule="auto"/>
        <w:jc w:val="center"/>
        <w:outlineLvl w:val="0"/>
        <w:rPr>
          <w:rFonts w:hint="eastAsia" w:ascii="宋体" w:hAnsi="宋体" w:cs="宋体"/>
          <w:b/>
          <w:color w:val="auto"/>
          <w:sz w:val="32"/>
          <w:szCs w:val="32"/>
          <w:highlight w:val="none"/>
        </w:rPr>
      </w:pPr>
    </w:p>
    <w:p>
      <w:pPr>
        <w:adjustRightInd w:val="0"/>
        <w:snapToGrid w:val="0"/>
        <w:spacing w:line="360" w:lineRule="auto"/>
        <w:rPr>
          <w:rFonts w:hint="eastAsia" w:ascii="宋体" w:hAnsi="宋体" w:cs="宋体"/>
          <w:bCs/>
          <w:color w:val="auto"/>
          <w:sz w:val="24"/>
          <w:szCs w:val="21"/>
          <w:highlight w:val="none"/>
        </w:rPr>
      </w:pPr>
      <w:r>
        <w:rPr>
          <w:rFonts w:hint="eastAsia" w:ascii="宋体" w:hAnsi="宋体" w:cs="宋体"/>
          <w:bCs/>
          <w:color w:val="auto"/>
          <w:sz w:val="24"/>
          <w:szCs w:val="21"/>
          <w:highlight w:val="none"/>
        </w:rPr>
        <w:t>致：______________(招标人名称)</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本人作为拟委任的施工项目经理，承担相关质量终身责任，现郑重承诺如下：</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一、在取得施工许可证后进行施工。</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二、严格执行施工规范及标准。</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三、严格按规定配备施工项目部关键岗位人员，并确保所有人员到岗履职。</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四、严格按照经施工图审查机构审查合格的工程设计文件及合同约定的质量标准精心组织施工。</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五、施工中采用合格的建筑材料、建筑构配件和设备等，并严格按规定执行见证取样制度。</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六、建立、健全质量检查、验收制度，严格工序管理，做好隐蔽工程质量的检查和记录。</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七、对施工中出现的质量问题，及时进行整改。严格依法依规履行义务。</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八、履行相关工程质量检查、验收及事故处理等职责。</w:t>
      </w:r>
    </w:p>
    <w:p>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九、履行其他法律法规规定的职责。</w:t>
      </w:r>
    </w:p>
    <w:p>
      <w:pPr>
        <w:spacing w:line="360" w:lineRule="auto"/>
        <w:ind w:left="359" w:leftChars="171" w:firstLine="720" w:firstLineChars="300"/>
        <w:rPr>
          <w:rFonts w:hint="eastAsia" w:ascii="宋体" w:hAnsi="宋体" w:cs="宋体"/>
          <w:bCs/>
          <w:color w:val="auto"/>
          <w:sz w:val="24"/>
          <w:szCs w:val="21"/>
          <w:highlight w:val="none"/>
        </w:rPr>
      </w:pPr>
    </w:p>
    <w:p>
      <w:pPr>
        <w:spacing w:line="360" w:lineRule="auto"/>
        <w:ind w:left="359" w:leftChars="171" w:firstLine="720" w:firstLineChars="300"/>
        <w:rPr>
          <w:rFonts w:hint="eastAsia" w:ascii="宋体" w:hAnsi="宋体" w:cs="宋体"/>
          <w:bCs/>
          <w:color w:val="auto"/>
          <w:sz w:val="24"/>
          <w:szCs w:val="21"/>
          <w:highlight w:val="none"/>
        </w:rPr>
      </w:pPr>
    </w:p>
    <w:p>
      <w:pPr>
        <w:spacing w:line="360" w:lineRule="auto"/>
        <w:ind w:left="359" w:leftChars="171" w:firstLine="720" w:firstLineChars="300"/>
        <w:rPr>
          <w:rFonts w:hint="eastAsia" w:ascii="宋体" w:hAnsi="宋体" w:cs="宋体"/>
          <w:bCs/>
          <w:color w:val="auto"/>
          <w:sz w:val="24"/>
          <w:szCs w:val="21"/>
          <w:highlight w:val="none"/>
        </w:rPr>
      </w:pPr>
      <w:r>
        <w:rPr>
          <w:rFonts w:hint="eastAsia" w:ascii="宋体" w:hAnsi="宋体" w:cs="宋体"/>
          <w:bCs/>
          <w:color w:val="auto"/>
          <w:sz w:val="24"/>
          <w:szCs w:val="21"/>
          <w:highlight w:val="none"/>
        </w:rPr>
        <w:t>项目经理：</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（签字）</w:t>
      </w:r>
    </w:p>
    <w:p>
      <w:pPr>
        <w:spacing w:line="360" w:lineRule="auto"/>
        <w:ind w:left="359" w:leftChars="171" w:firstLine="720" w:firstLineChars="300"/>
        <w:rPr>
          <w:rFonts w:hint="eastAsia" w:ascii="宋体" w:hAnsi="宋体" w:cs="宋体"/>
          <w:bCs/>
          <w:color w:val="auto"/>
          <w:sz w:val="24"/>
          <w:szCs w:val="21"/>
          <w:highlight w:val="none"/>
        </w:rPr>
      </w:pPr>
      <w:r>
        <w:rPr>
          <w:rFonts w:hint="eastAsia" w:ascii="宋体" w:hAnsi="宋体" w:cs="宋体"/>
          <w:bCs/>
          <w:color w:val="auto"/>
          <w:sz w:val="24"/>
          <w:szCs w:val="21"/>
          <w:highlight w:val="none"/>
        </w:rPr>
        <w:t>日期：_____年____月____日</w:t>
      </w:r>
    </w:p>
    <w:p>
      <w:pPr>
        <w:pStyle w:val="14"/>
        <w:rPr>
          <w:rFonts w:hint="eastAsia"/>
          <w:color w:val="auto"/>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rPr>
          <w:rFonts w:hint="eastAsia"/>
          <w:bCs/>
          <w:color w:val="auto"/>
          <w:szCs w:val="32"/>
          <w:highlight w:val="none"/>
        </w:rPr>
      </w:pPr>
    </w:p>
    <w:p>
      <w:pPr>
        <w:pStyle w:val="43"/>
        <w:numPr>
          <w:ilvl w:val="0"/>
          <w:numId w:val="7"/>
        </w:numPr>
        <w:spacing w:beforeLines="50" w:afterLines="50" w:line="440" w:lineRule="exact"/>
        <w:rPr>
          <w:rFonts w:hint="eastAsia" w:eastAsia="宋体" w:cs="Times New Roman"/>
          <w:bCs/>
          <w:color w:val="auto"/>
          <w:szCs w:val="32"/>
          <w:highlight w:val="none"/>
        </w:rPr>
      </w:pPr>
      <w:bookmarkStart w:id="982" w:name="_Toc95223515"/>
      <w:bookmarkStart w:id="983" w:name="_Toc4767"/>
      <w:r>
        <w:rPr>
          <w:rFonts w:hint="eastAsia" w:eastAsia="宋体" w:cs="Times New Roman"/>
          <w:bCs/>
          <w:color w:val="auto"/>
          <w:szCs w:val="32"/>
          <w:highlight w:val="none"/>
        </w:rPr>
        <w:t xml:space="preserve"> 工程量清单</w:t>
      </w:r>
      <w:bookmarkEnd w:id="982"/>
      <w:bookmarkEnd w:id="983"/>
    </w:p>
    <w:p>
      <w:pPr>
        <w:adjustRightInd w:val="0"/>
        <w:snapToGrid w:val="0"/>
        <w:spacing w:line="360" w:lineRule="auto"/>
        <w:ind w:firstLine="422" w:firstLineChars="200"/>
        <w:rPr>
          <w:rFonts w:hint="eastAsia" w:ascii="宋体" w:hAnsi="宋体" w:cs="宋体"/>
          <w:b/>
          <w:bCs/>
          <w:color w:val="auto"/>
          <w:szCs w:val="21"/>
          <w:highlight w:val="none"/>
        </w:rPr>
      </w:pPr>
      <w:bookmarkStart w:id="984" w:name="_Toc95223516"/>
      <w:bookmarkStart w:id="985" w:name="_Toc1620"/>
      <w:r>
        <w:rPr>
          <w:rFonts w:hint="eastAsia" w:ascii="宋体" w:hAnsi="宋体" w:cs="宋体"/>
          <w:b/>
          <w:bCs/>
          <w:color w:val="auto"/>
          <w:szCs w:val="21"/>
          <w:highlight w:val="none"/>
        </w:rPr>
        <w:t>1. 计价依据</w:t>
      </w:r>
      <w:bookmarkEnd w:id="984"/>
      <w:bookmarkEnd w:id="985"/>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 计价依据的确定符合国家法律法规、现行有关标准与规范，工程所在地的省、市工程定额和工程造价的规定以及工程造价信息要求。</w:t>
      </w:r>
    </w:p>
    <w:p>
      <w:pPr>
        <w:adjustRightInd w:val="0"/>
        <w:snapToGrid w:val="0"/>
        <w:spacing w:line="360" w:lineRule="auto"/>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1.2 安全文明施工费</w:t>
      </w:r>
      <w:r>
        <w:rPr>
          <w:rFonts w:hint="eastAsia" w:ascii="宋体" w:hAnsi="宋体" w:cs="宋体"/>
          <w:color w:val="auto"/>
          <w:szCs w:val="21"/>
          <w:highlight w:val="none"/>
          <w:lang w:val="en-US" w:eastAsia="zh-CN"/>
        </w:rPr>
        <w:t>详见工程量清单内容</w:t>
      </w:r>
      <w:r>
        <w:rPr>
          <w:rFonts w:hint="eastAsia" w:ascii="宋体" w:hAnsi="宋体" w:cs="宋体"/>
          <w:color w:val="auto"/>
          <w:szCs w:val="21"/>
          <w:highlight w:val="none"/>
          <w:lang w:eastAsia="zh-CN"/>
        </w:rPr>
        <w:t>。</w:t>
      </w:r>
    </w:p>
    <w:p>
      <w:pPr>
        <w:adjustRightInd w:val="0"/>
        <w:snapToGrid w:val="0"/>
        <w:spacing w:line="360" w:lineRule="auto"/>
        <w:ind w:firstLine="422" w:firstLineChars="200"/>
        <w:rPr>
          <w:rFonts w:hint="eastAsia" w:ascii="宋体" w:hAnsi="宋体" w:cs="宋体"/>
          <w:b/>
          <w:bCs/>
          <w:color w:val="auto"/>
          <w:szCs w:val="21"/>
          <w:highlight w:val="none"/>
        </w:rPr>
      </w:pPr>
      <w:bookmarkStart w:id="986" w:name="_Toc95223517"/>
      <w:bookmarkStart w:id="987" w:name="_Toc7039"/>
      <w:r>
        <w:rPr>
          <w:rFonts w:hint="eastAsia" w:ascii="宋体" w:hAnsi="宋体" w:cs="宋体"/>
          <w:b/>
          <w:bCs/>
          <w:color w:val="auto"/>
          <w:szCs w:val="21"/>
          <w:highlight w:val="none"/>
        </w:rPr>
        <w:t>2. 工程造价确定</w:t>
      </w:r>
      <w:bookmarkEnd w:id="986"/>
      <w:bookmarkEnd w:id="987"/>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 本项目采用工程量清单计价。</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 除招标文件另有约定外，本项目计税采用增值税一般计税方法。</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2.3 建设工程造价由分部分项工程费、措施项目费、不可竞争费、其他项目费和税金构成。</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 分部分项工程项目清单采用综合单价计价。综合单价是指完成一个规定计量单位的分部分项工程和措施清单项目所需的人工费、材料和工程设备费、施工机具使用费和综合费（企业管理费和利润）以及一定范围内的风险费用。</w:t>
      </w:r>
    </w:p>
    <w:p>
      <w:pPr>
        <w:adjustRightInd w:val="0"/>
        <w:snapToGrid w:val="0"/>
        <w:spacing w:line="360" w:lineRule="auto"/>
        <w:ind w:firstLine="422" w:firstLineChars="200"/>
        <w:rPr>
          <w:rFonts w:hint="eastAsia" w:ascii="宋体" w:hAnsi="宋体" w:cs="宋体"/>
          <w:color w:val="auto"/>
          <w:szCs w:val="21"/>
          <w:highlight w:val="none"/>
        </w:rPr>
      </w:pPr>
      <w:bookmarkStart w:id="988" w:name="_Toc95223518"/>
      <w:bookmarkStart w:id="989" w:name="_Toc19788"/>
      <w:r>
        <w:rPr>
          <w:rFonts w:hint="eastAsia" w:ascii="宋体" w:hAnsi="宋体" w:cs="宋体"/>
          <w:b/>
          <w:bCs/>
          <w:color w:val="auto"/>
          <w:szCs w:val="21"/>
          <w:highlight w:val="none"/>
        </w:rPr>
        <w:t>3. 招标工程量清单编制要求</w:t>
      </w:r>
      <w:bookmarkEnd w:id="988"/>
      <w:bookmarkEnd w:id="989"/>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 招标工程量清单编制依据如下：</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（1）2018版安徽省建设工程工程量清单计价办法；</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（2）《关于调整安徽省建设工程不可竞争费构成及计费标准的通知》（建标〔2021〕42号）；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（3）建设工程设计文件及相关资料；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（4）与建设项目有关的标准、规范、技术资料；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（5）拟定的招标文件及其补充通知答疑纪要；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（6）施工现场情况、地勘水文资料、工程特点及常规施工方案；</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（7）招标人对项目其他相关要求文件。</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 招标工程量清单作为招标文件的组成部分，是编制最高投标限价、投标报价、计算工程量、调整合同价款、办理工程竣工结算以及工程索赔等的依据。</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 投标人在投标报价过程中有责任和义务对招标人提供的工程量清单进行分析和核对,发现问题应按招标文件要求以书面形式告知招标人。</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工程量清单由分部分项工程量清单、措施项目清单、不可竞争项目清单、其他项目清单、税金项目清单组成。采用统一格式和表格，具体构成内容见“工程量清单”。</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3.5 分部分项工程量清单项目特征是结合本工程项目的实际情况予以描述的，对清单项目的技术和质量有要求的，见招标文件技术部分。措施项目清单中通用部分遵循计价规范编制，专业工程措施项目按规定和工程实际情况确定。</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 招标工程量清单编制范围应与招标文件中明确的工程招标范围一致。工程量清单的组成内容应当完整、项目特征描述应准确全面，与施工图纸保持一致。</w:t>
      </w:r>
    </w:p>
    <w:p>
      <w:pPr>
        <w:adjustRightInd w:val="0"/>
        <w:snapToGrid w:val="0"/>
        <w:spacing w:line="360" w:lineRule="auto"/>
        <w:ind w:firstLine="422" w:firstLineChars="200"/>
        <w:rPr>
          <w:rFonts w:hint="eastAsia" w:ascii="宋体" w:hAnsi="宋体" w:cs="宋体"/>
          <w:color w:val="auto"/>
          <w:szCs w:val="21"/>
          <w:highlight w:val="none"/>
        </w:rPr>
      </w:pPr>
      <w:bookmarkStart w:id="990" w:name="_Toc95223519"/>
      <w:bookmarkStart w:id="991" w:name="_Toc23910"/>
      <w:r>
        <w:rPr>
          <w:rFonts w:hint="eastAsia" w:ascii="宋体" w:hAnsi="宋体" w:cs="宋体"/>
          <w:b/>
          <w:bCs/>
          <w:color w:val="auto"/>
          <w:szCs w:val="21"/>
          <w:highlight w:val="none"/>
        </w:rPr>
        <w:t>4. 最高投标限价编制要求</w:t>
      </w:r>
      <w:bookmarkEnd w:id="990"/>
      <w:bookmarkEnd w:id="991"/>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4.1 最高投标限价编制依据如下：</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依据招标人提供的招标文件、施工图纸和本工程招标清单中所有内容；</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《建设工程工程量清单计价规范》(GB50500-2013)；</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2018版《安徽省建设工程工程量清单计价办法》；</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省、市截止202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月的有关政策性文件；</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4.2 最高投标限价为本次招标工程限定的最高投标限价。</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4.3 最高投标限价应采用工程单价计价，正确、全面地使用国家、省市标准、计价定额以及相关文件，成果文件质量应符合相关标准及规程的规定。最高投标限价包括分部分项工程费、措施项目费、不可竞争费、其他项目费和税金。</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 分部分项工程费按本招标文件的分部分项工程量清单的特征描述及有关要求，结合第4.1款编制依据确定。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（1）综合单价中人工和施工机械台班单价按省级和工程所在地的市级工程造价管理机构公布的单价计算；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（2）综合单价中材料、工程设备单价按省级和工程所在地的市级工程造价管理机构公布的单价以及本招标文件规定的暂估价、市场调查价格计算；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（3）本招标文件中列有材料、设备暂估价的，按暂估价计算；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（4）综合单价中人工、材料和施工机械台班消耗量均按2018版安徽省定额消耗量计算；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（5）综合单价中综合费费率按2018版安徽省建设工程计价依据；</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（6）综合单价中应包括招标文件约定的应由投标人承担的风险范围及其费用，风险按本招标文件第4.1款约定计算。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4.5 措施项目费按本招标文件中的措施项目清单，根据拟定的招标文件和常规施工方案确定。对于施工机械设备的选型根据工程特点和施工条件，本着经济实用、先进高效的原则确定。措施项目费依据项目具体情况进行合理确定，复杂项目需按专家论证后的方案编制。</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4.6 不可竞争费（含安全文明施工费、环境保护税）按本招标文件中的不可竞争项目清单编制确定。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4.7 其他项目费用应按照下列规定计价:</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（1）暂列金额按招标工程量清单中列出的金额填写；</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（2）专业工程暂估价按招标工程量清单中列出的金额填写；</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（3）计日工按招标人列出项目和数量，结合第4.1款编制依据的要求确定综合单价并计算费用； </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（4）总承包服务费根据招标文件列出的内容和要求计算。</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4.8 税金（增值税）按税金项目清单，结合第4.1款编制依据的要求编制，不得降低标准。</w:t>
      </w:r>
    </w:p>
    <w:p>
      <w:pPr>
        <w:adjustRightInd w:val="0"/>
        <w:snapToGrid w:val="0"/>
        <w:spacing w:line="360" w:lineRule="auto"/>
        <w:ind w:firstLine="422" w:firstLineChars="200"/>
        <w:rPr>
          <w:rFonts w:hint="eastAsia" w:ascii="宋体" w:hAnsi="宋体" w:cs="宋体"/>
          <w:b/>
          <w:bCs/>
          <w:color w:val="auto"/>
          <w:szCs w:val="21"/>
          <w:highlight w:val="none"/>
        </w:rPr>
      </w:pPr>
      <w:bookmarkStart w:id="992" w:name="_Toc95223520"/>
      <w:bookmarkStart w:id="993" w:name="_Toc4166"/>
      <w:r>
        <w:rPr>
          <w:rFonts w:hint="eastAsia" w:ascii="宋体" w:hAnsi="宋体" w:cs="宋体"/>
          <w:b/>
          <w:bCs/>
          <w:color w:val="auto"/>
          <w:szCs w:val="21"/>
          <w:highlight w:val="none"/>
        </w:rPr>
        <w:t>5. 投标报价参考编制要求</w:t>
      </w:r>
      <w:bookmarkEnd w:id="992"/>
      <w:bookmarkEnd w:id="993"/>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5.1 投标报价编制参考依据如下：</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（1）2018版安徽省建设工程费用定额；</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（2）2018版安徽省建设工程施工机械台班费用编制规则；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（3）2018版安徽省配套计价定额；</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（4）《关于调整安徽省建设工程不可竞争费构成及计费标准的通知》（建标〔2021〕42号）；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（5）《2018版安徽省建设工程计价依据部分修编内容》（安徽省住房和城乡建设厅公告第53号）</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（6）建设工程设计文件及相关资料；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（7）与建设项目有关的标准、规范、技术资料；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（8）招标文件及招标工程量清单及其补充通知答疑纪要；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（9）施工现场情况、工程特点及常规施工方案；</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（10）工程造价管理机构发布的工程造价信息；</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（11）施工期间的风险因素；</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（12）其他相关材料。</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5.2 投标人应仔细阅读招标文件，了解拟投标合同段的全部工程内容。投标人的投标报价应是招标文件所确定的招标范围内全部工程内容的价格体现，但其投标报价不得低于投标人个别成本价。</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5.3 投标人应按招标人提供的招标工程量清单填报综合单价和合价，未填报的综合单价和合价，视为此项费用已合在工程量清单的其他综合单价和合价中。</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5.4 分部分项工程费根据招标文件中的工程量清单项目及项目特征描述等确定综合单价。其中综合单价是指完成一个规定清单项目所需的人工费、材料和工程设备费、施工机具使用费和综合费（企业管理费和利润）以及一定范围内投标人承担的风险费用。</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5.5 措施项目费根据招标文件中的工程量清单措施项目，结合第5.1款编制依据确定。投标人对招标人所列的措施项目可根据工程实际情况结合施工组织设计进行增补。</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5.6 不可竞争费（含安全文明施工费、环境保护税）根据工程量清单不可竞争项目，结合第5.1款编制依据确定，安全文明施工费费率不得调整。</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5.7 其他项目费用应按照下列规定计价:</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（1）暂列金额按招标工程量清单中列出的金额填写，不得更改；</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（2）专业工程暂估价按招标工程量清单中列出的金额填写，不得更改；</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（3）计日工按招标人列出项目和数量，结合第5.1款编制依据的要求确定综合单价并计算费用；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（4）总承包服务费根据招标文件列出的内容和要求计算。</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5.8 税金（增值税）按税金项目清单，结合第5.1款编制依据的要求编制，不得调整。</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5.9 投标报价编制注意事项</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除可调整价格的主要材料和甲供材及实行暂估价的材料及设备以外，其他由投标人自行采购的材料确定投标报价时应充分考虑材料价格上涨等市场风险因素，中标后不作调整，综合单价中的材料费应包含材料运杂费、采保费等一切应有费用；</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（2）结算时实行暂估价的材料和设备的价差仅计取税金，不再计取其他费用；</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本招标工程的施工地点为本须知前附表所述，投标人应自行到施工现场踏勘以充分了解工地位置、情况、道路、储存空间、装卸限制及任何其他足以影响投标报价的情况，任何因忽视或误解施工场地情况而导致的索赔或工期延长申请将不被批准。对于受施工现场场地限制，如需要另外寻找场地解决临时住宿、材料及设备堆放，由此所产生的费用应包含在投标报价范围内，招标人不再承担该费用；</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开标前，投标人应认真对照施工设计图纸等文件核对招标人提供的工程量清单，发现工程量存在项目划分误差、计量单位误差、数量误差、遗漏项目的，必须在招标文件规定的时间内向招标人提出异议或修正要求，否则招标人可不予答复；</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招标人对异议或修正要求应进行核实，确认工程量单项子目误差在±3%（含±3%）以内的，招标人可不予调整工程量，投标人应将其误差考虑在综合单价内；若有遗漏项目或单项子目工程量误差超过±3%的，招标人应进行修正并重新公布准确的工程量清单；</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 除合同另有约定外，中标人在工程量清单报价书中所报的综合单价在施工图纸和合同约定范围一律不予调整；</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（7）本招标工程不接受恶意不平衡报价，不保证最低价中标。</w:t>
      </w:r>
    </w:p>
    <w:p>
      <w:pPr>
        <w:adjustRightInd w:val="0"/>
        <w:snapToGrid w:val="0"/>
        <w:spacing w:line="360" w:lineRule="auto"/>
        <w:ind w:firstLine="422" w:firstLineChars="200"/>
        <w:rPr>
          <w:rFonts w:hint="eastAsia" w:ascii="宋体" w:hAnsi="宋体" w:cs="宋体"/>
          <w:color w:val="auto"/>
          <w:szCs w:val="21"/>
          <w:highlight w:val="none"/>
        </w:rPr>
      </w:pPr>
      <w:bookmarkStart w:id="994" w:name="_Toc4881"/>
      <w:bookmarkStart w:id="995" w:name="_Toc95223521"/>
      <w:r>
        <w:rPr>
          <w:rFonts w:hint="eastAsia" w:ascii="宋体" w:hAnsi="宋体" w:cs="宋体"/>
          <w:b/>
          <w:bCs/>
          <w:color w:val="auto"/>
          <w:szCs w:val="21"/>
          <w:highlight w:val="none"/>
        </w:rPr>
        <w:t>6. 工程量清单</w:t>
      </w:r>
      <w:bookmarkEnd w:id="994"/>
      <w:bookmarkEnd w:id="995"/>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另</w:t>
      </w:r>
      <w:r>
        <w:rPr>
          <w:rFonts w:hint="eastAsia" w:ascii="宋体" w:hAnsi="宋体" w:cs="宋体"/>
          <w:color w:val="auto"/>
          <w:szCs w:val="21"/>
          <w:highlight w:val="none"/>
          <w:lang w:val="en-US" w:eastAsia="zh-CN"/>
        </w:rPr>
        <w:t>附</w:t>
      </w:r>
      <w:r>
        <w:rPr>
          <w:rFonts w:hint="eastAsia" w:ascii="宋体" w:hAnsi="宋体" w:cs="宋体"/>
          <w:color w:val="auto"/>
          <w:szCs w:val="21"/>
          <w:highlight w:val="none"/>
        </w:rPr>
        <w:t>。</w:t>
      </w:r>
    </w:p>
    <w:p>
      <w:pPr>
        <w:pStyle w:val="43"/>
        <w:numPr>
          <w:ilvl w:val="0"/>
          <w:numId w:val="0"/>
        </w:numPr>
        <w:spacing w:beforeLines="50" w:afterLines="50" w:line="440" w:lineRule="exact"/>
        <w:jc w:val="center"/>
        <w:rPr>
          <w:rFonts w:hint="eastAsia" w:eastAsia="宋体" w:cs="Times New Roman"/>
          <w:bCs/>
          <w:color w:val="auto"/>
          <w:szCs w:val="32"/>
          <w:highlight w:val="none"/>
          <w:lang w:val="en-US" w:eastAsia="zh-CN"/>
        </w:rPr>
      </w:pPr>
    </w:p>
    <w:p>
      <w:pPr>
        <w:pStyle w:val="43"/>
        <w:numPr>
          <w:ilvl w:val="0"/>
          <w:numId w:val="0"/>
        </w:numPr>
        <w:spacing w:beforeLines="50" w:afterLines="50" w:line="440" w:lineRule="exact"/>
        <w:jc w:val="center"/>
        <w:rPr>
          <w:rFonts w:hint="eastAsia" w:eastAsia="宋体" w:cs="Times New Roman"/>
          <w:bCs/>
          <w:color w:val="auto"/>
          <w:szCs w:val="32"/>
          <w:highlight w:val="none"/>
          <w:lang w:val="en-US" w:eastAsia="zh-CN"/>
        </w:rPr>
      </w:pPr>
    </w:p>
    <w:p>
      <w:pPr>
        <w:pStyle w:val="43"/>
        <w:numPr>
          <w:ilvl w:val="0"/>
          <w:numId w:val="0"/>
        </w:numPr>
        <w:spacing w:beforeLines="50" w:afterLines="50" w:line="440" w:lineRule="exact"/>
        <w:jc w:val="center"/>
        <w:rPr>
          <w:rFonts w:hint="eastAsia" w:eastAsia="宋体" w:cs="Times New Roman"/>
          <w:bCs/>
          <w:color w:val="auto"/>
          <w:szCs w:val="32"/>
          <w:highlight w:val="none"/>
          <w:lang w:val="en-US" w:eastAsia="zh-CN"/>
        </w:rPr>
      </w:pPr>
    </w:p>
    <w:p>
      <w:pPr>
        <w:pStyle w:val="43"/>
        <w:numPr>
          <w:ilvl w:val="0"/>
          <w:numId w:val="7"/>
        </w:numPr>
        <w:spacing w:beforeLines="50" w:afterLines="50" w:line="440" w:lineRule="exact"/>
        <w:jc w:val="center"/>
        <w:rPr>
          <w:rFonts w:hint="eastAsia" w:eastAsia="宋体" w:cs="Times New Roman"/>
          <w:bCs/>
          <w:color w:val="auto"/>
          <w:szCs w:val="32"/>
          <w:highlight w:val="none"/>
        </w:rPr>
      </w:pPr>
      <w:r>
        <w:rPr>
          <w:rFonts w:hint="eastAsia" w:eastAsia="宋体" w:cs="Times New Roman"/>
          <w:bCs/>
          <w:color w:val="auto"/>
          <w:szCs w:val="32"/>
          <w:highlight w:val="none"/>
          <w:lang w:val="en-US" w:eastAsia="zh-CN"/>
        </w:rPr>
        <w:t>图纸</w:t>
      </w:r>
    </w:p>
    <w:p>
      <w:pPr>
        <w:pStyle w:val="43"/>
        <w:numPr>
          <w:ilvl w:val="0"/>
          <w:numId w:val="0"/>
        </w:numPr>
        <w:spacing w:beforeLines="50" w:afterLines="50" w:line="440" w:lineRule="exact"/>
        <w:jc w:val="center"/>
        <w:rPr>
          <w:rFonts w:hint="eastAsia" w:eastAsia="宋体" w:cs="Times New Roman"/>
          <w:bCs/>
          <w:color w:val="auto"/>
          <w:szCs w:val="32"/>
          <w:highlight w:val="none"/>
        </w:rPr>
      </w:pPr>
      <w:r>
        <w:rPr>
          <w:rFonts w:hint="eastAsia" w:eastAsia="宋体" w:cs="Times New Roman"/>
          <w:bCs/>
          <w:color w:val="auto"/>
          <w:szCs w:val="32"/>
          <w:highlight w:val="none"/>
          <w:lang w:val="en-US" w:eastAsia="zh-CN"/>
        </w:rPr>
        <w:t>另附</w:t>
      </w:r>
    </w:p>
    <w:p>
      <w:pPr>
        <w:pStyle w:val="43"/>
        <w:numPr>
          <w:ilvl w:val="0"/>
          <w:numId w:val="0"/>
        </w:numPr>
        <w:spacing w:beforeLines="50" w:afterLines="50" w:line="440" w:lineRule="exact"/>
        <w:jc w:val="both"/>
        <w:rPr>
          <w:rFonts w:hint="eastAsia" w:eastAsia="宋体" w:cs="Times New Roman"/>
          <w:bCs/>
          <w:color w:val="auto"/>
          <w:szCs w:val="32"/>
          <w:highlight w:val="none"/>
        </w:rPr>
      </w:pPr>
    </w:p>
    <w:p>
      <w:pPr>
        <w:rPr>
          <w:rFonts w:hint="eastAsia"/>
          <w:bCs/>
          <w:color w:val="auto"/>
          <w:szCs w:val="32"/>
          <w:highlight w:val="none"/>
        </w:rPr>
      </w:pPr>
      <w:r>
        <w:rPr>
          <w:rFonts w:hint="eastAsia"/>
          <w:bCs/>
          <w:color w:val="auto"/>
          <w:szCs w:val="32"/>
          <w:highlight w:val="none"/>
        </w:rPr>
        <w:br w:type="page"/>
      </w:r>
    </w:p>
    <w:p>
      <w:pPr>
        <w:pStyle w:val="43"/>
        <w:spacing w:beforeLines="50" w:afterLines="50" w:line="440" w:lineRule="exact"/>
        <w:rPr>
          <w:bCs/>
          <w:color w:val="auto"/>
          <w:szCs w:val="32"/>
          <w:highlight w:val="none"/>
        </w:rPr>
      </w:pPr>
      <w:r>
        <w:rPr>
          <w:rFonts w:hint="eastAsia"/>
          <w:bCs/>
          <w:color w:val="auto"/>
          <w:szCs w:val="32"/>
          <w:highlight w:val="none"/>
        </w:rPr>
        <w:t>第</w:t>
      </w:r>
      <w:r>
        <w:rPr>
          <w:rFonts w:hint="eastAsia"/>
          <w:bCs/>
          <w:color w:val="auto"/>
          <w:szCs w:val="32"/>
          <w:highlight w:val="none"/>
          <w:lang w:val="en-US" w:eastAsia="zh-CN"/>
        </w:rPr>
        <w:t>七</w:t>
      </w:r>
      <w:r>
        <w:rPr>
          <w:rFonts w:hint="eastAsia"/>
          <w:bCs/>
          <w:color w:val="auto"/>
          <w:szCs w:val="32"/>
          <w:highlight w:val="none"/>
        </w:rPr>
        <w:t>章  投标文件格式</w:t>
      </w:r>
      <w:bookmarkEnd w:id="888"/>
      <w:bookmarkEnd w:id="889"/>
      <w:bookmarkEnd w:id="890"/>
      <w:bookmarkEnd w:id="891"/>
      <w:bookmarkEnd w:id="892"/>
      <w:bookmarkEnd w:id="893"/>
      <w:bookmarkEnd w:id="894"/>
      <w:bookmarkEnd w:id="895"/>
      <w:bookmarkEnd w:id="896"/>
      <w:bookmarkEnd w:id="897"/>
      <w:bookmarkEnd w:id="898"/>
      <w:bookmarkEnd w:id="899"/>
      <w:bookmarkEnd w:id="900"/>
    </w:p>
    <w:p>
      <w:pPr>
        <w:rPr>
          <w:color w:val="auto"/>
          <w:highlight w:val="none"/>
        </w:rPr>
      </w:pPr>
    </w:p>
    <w:p>
      <w:pPr>
        <w:rPr>
          <w:color w:val="auto"/>
          <w:highlight w:val="none"/>
        </w:rPr>
      </w:pPr>
    </w:p>
    <w:p>
      <w:pPr>
        <w:rPr>
          <w:color w:val="auto"/>
          <w:highlight w:val="none"/>
        </w:rPr>
      </w:pPr>
    </w:p>
    <w:p>
      <w:pPr>
        <w:jc w:val="center"/>
        <w:rPr>
          <w:rFonts w:eastAsia="黑体"/>
          <w:color w:val="auto"/>
          <w:sz w:val="20"/>
          <w:szCs w:val="20"/>
          <w:highlight w:val="none"/>
        </w:rPr>
      </w:pPr>
      <w:r>
        <w:rPr>
          <w:rFonts w:eastAsia="黑体"/>
          <w:color w:val="auto"/>
          <w:sz w:val="28"/>
          <w:szCs w:val="28"/>
          <w:highlight w:val="none"/>
        </w:rPr>
        <w:t>（项目名称）</w:t>
      </w:r>
    </w:p>
    <w:p>
      <w:pPr>
        <w:jc w:val="center"/>
        <w:rPr>
          <w:rFonts w:eastAsia="黑体"/>
          <w:color w:val="auto"/>
          <w:sz w:val="20"/>
          <w:szCs w:val="20"/>
          <w:highlight w:val="none"/>
        </w:rPr>
      </w:pPr>
    </w:p>
    <w:p>
      <w:pPr>
        <w:jc w:val="center"/>
        <w:rPr>
          <w:rFonts w:eastAsia="黑体"/>
          <w:color w:val="auto"/>
          <w:sz w:val="20"/>
          <w:szCs w:val="20"/>
          <w:highlight w:val="none"/>
        </w:rPr>
      </w:pPr>
    </w:p>
    <w:p>
      <w:pPr>
        <w:jc w:val="center"/>
        <w:rPr>
          <w:rFonts w:eastAsia="黑体"/>
          <w:color w:val="auto"/>
          <w:sz w:val="20"/>
          <w:szCs w:val="20"/>
          <w:highlight w:val="none"/>
        </w:rPr>
      </w:pPr>
    </w:p>
    <w:p>
      <w:pPr>
        <w:rPr>
          <w:rFonts w:eastAsia="黑体"/>
          <w:color w:val="auto"/>
          <w:sz w:val="20"/>
          <w:szCs w:val="20"/>
          <w:highlight w:val="none"/>
        </w:rPr>
      </w:pPr>
    </w:p>
    <w:p>
      <w:pPr>
        <w:jc w:val="center"/>
        <w:rPr>
          <w:rFonts w:eastAsia="黑体"/>
          <w:color w:val="auto"/>
          <w:sz w:val="44"/>
          <w:szCs w:val="44"/>
          <w:highlight w:val="none"/>
        </w:rPr>
      </w:pPr>
      <w:r>
        <w:rPr>
          <w:rFonts w:eastAsia="黑体"/>
          <w:color w:val="auto"/>
          <w:sz w:val="44"/>
          <w:szCs w:val="44"/>
          <w:highlight w:val="none"/>
        </w:rPr>
        <w:t>投  标  文  件</w:t>
      </w:r>
      <w:r>
        <w:rPr>
          <w:rFonts w:hint="eastAsia" w:eastAsia="黑体"/>
          <w:color w:val="auto"/>
          <w:sz w:val="44"/>
          <w:szCs w:val="44"/>
          <w:highlight w:val="none"/>
        </w:rPr>
        <w:t xml:space="preserve"> 一</w:t>
      </w:r>
    </w:p>
    <w:p>
      <w:pPr>
        <w:jc w:val="center"/>
        <w:rPr>
          <w:rFonts w:eastAsia="黑体"/>
          <w:color w:val="auto"/>
          <w:sz w:val="44"/>
          <w:szCs w:val="44"/>
          <w:highlight w:val="none"/>
        </w:rPr>
      </w:pPr>
      <w:r>
        <w:rPr>
          <w:rFonts w:hint="eastAsia" w:eastAsia="黑体"/>
          <w:color w:val="auto"/>
          <w:sz w:val="44"/>
          <w:szCs w:val="44"/>
          <w:highlight w:val="none"/>
        </w:rPr>
        <w:t>（资信证明文件）</w:t>
      </w: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pStyle w:val="14"/>
        <w:ind w:firstLine="420"/>
        <w:rPr>
          <w:rFonts w:ascii="Times New Roman"/>
          <w:color w:val="auto"/>
          <w:szCs w:val="24"/>
          <w:highlight w:val="none"/>
        </w:rPr>
      </w:pPr>
    </w:p>
    <w:p>
      <w:pPr>
        <w:rPr>
          <w:rFonts w:ascii="Times New Roman"/>
          <w:color w:val="auto"/>
          <w:szCs w:val="24"/>
          <w:highlight w:val="none"/>
        </w:rPr>
      </w:pPr>
    </w:p>
    <w:p>
      <w:pPr>
        <w:pStyle w:val="14"/>
        <w:rPr>
          <w:rFonts w:ascii="Times New Roman"/>
          <w:color w:val="auto"/>
          <w:szCs w:val="24"/>
          <w:highlight w:val="none"/>
        </w:rPr>
      </w:pPr>
    </w:p>
    <w:p>
      <w:pPr>
        <w:rPr>
          <w:rFonts w:ascii="Times New Roman"/>
          <w:color w:val="auto"/>
          <w:szCs w:val="24"/>
          <w:highlight w:val="none"/>
        </w:rPr>
      </w:pPr>
    </w:p>
    <w:p>
      <w:pPr>
        <w:pStyle w:val="14"/>
        <w:rPr>
          <w:color w:val="auto"/>
          <w:highlight w:val="none"/>
        </w:rPr>
      </w:pPr>
    </w:p>
    <w:p>
      <w:pPr>
        <w:pStyle w:val="14"/>
        <w:ind w:firstLine="420"/>
        <w:rPr>
          <w:color w:val="auto"/>
          <w:highlight w:val="none"/>
        </w:rPr>
      </w:pPr>
    </w:p>
    <w:p>
      <w:pPr>
        <w:rPr>
          <w:rFonts w:eastAsia="黑体"/>
          <w:color w:val="auto"/>
          <w:sz w:val="28"/>
          <w:szCs w:val="28"/>
          <w:highlight w:val="none"/>
        </w:rPr>
      </w:pPr>
    </w:p>
    <w:p>
      <w:pPr>
        <w:rPr>
          <w:rFonts w:eastAsia="黑体"/>
          <w:color w:val="auto"/>
          <w:sz w:val="28"/>
          <w:szCs w:val="28"/>
          <w:highlight w:val="none"/>
        </w:rPr>
      </w:pPr>
    </w:p>
    <w:p>
      <w:pPr>
        <w:jc w:val="center"/>
        <w:rPr>
          <w:rFonts w:eastAsia="黑体"/>
          <w:color w:val="auto"/>
          <w:sz w:val="28"/>
          <w:szCs w:val="28"/>
          <w:highlight w:val="none"/>
          <w:u w:val="single"/>
        </w:rPr>
      </w:pPr>
      <w:r>
        <w:rPr>
          <w:rFonts w:hint="eastAsia" w:eastAsia="黑体"/>
          <w:color w:val="auto"/>
          <w:sz w:val="28"/>
          <w:szCs w:val="28"/>
          <w:highlight w:val="none"/>
        </w:rPr>
        <w:t xml:space="preserve"> 投标人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盖</w:t>
      </w:r>
      <w:r>
        <w:rPr>
          <w:rFonts w:eastAsia="黑体"/>
          <w:color w:val="auto"/>
          <w:sz w:val="28"/>
          <w:szCs w:val="28"/>
          <w:highlight w:val="none"/>
        </w:rPr>
        <w:t>章）</w:t>
      </w:r>
    </w:p>
    <w:p>
      <w:pPr>
        <w:jc w:val="center"/>
        <w:rPr>
          <w:rFonts w:eastAsia="黑体"/>
          <w:color w:val="auto"/>
          <w:sz w:val="28"/>
          <w:szCs w:val="28"/>
          <w:highlight w:val="none"/>
        </w:rPr>
      </w:pPr>
      <w:r>
        <w:rPr>
          <w:rFonts w:hint="eastAsia" w:eastAsia="黑体"/>
          <w:color w:val="auto"/>
          <w:sz w:val="28"/>
          <w:szCs w:val="28"/>
          <w:highlight w:val="none"/>
        </w:rPr>
        <w:t xml:space="preserve">   </w:t>
      </w:r>
      <w:r>
        <w:rPr>
          <w:rFonts w:eastAsia="黑体"/>
          <w:color w:val="auto"/>
          <w:sz w:val="28"/>
          <w:szCs w:val="28"/>
          <w:highlight w:val="none"/>
        </w:rPr>
        <w:t>法定代表人</w:t>
      </w:r>
      <w:r>
        <w:rPr>
          <w:rFonts w:hint="eastAsia" w:eastAsia="黑体"/>
          <w:color w:val="auto"/>
          <w:sz w:val="28"/>
          <w:szCs w:val="28"/>
          <w:highlight w:val="none"/>
          <w:lang w:val="en-US" w:eastAsia="zh-CN"/>
        </w:rPr>
        <w:t>或授权委托人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签字或盖章</w:t>
      </w:r>
      <w:r>
        <w:rPr>
          <w:rFonts w:eastAsia="黑体"/>
          <w:color w:val="auto"/>
          <w:sz w:val="28"/>
          <w:szCs w:val="28"/>
          <w:highlight w:val="none"/>
        </w:rPr>
        <w:t>）</w:t>
      </w:r>
    </w:p>
    <w:p>
      <w:pPr>
        <w:jc w:val="center"/>
        <w:rPr>
          <w:rFonts w:eastAsia="黑体"/>
          <w:color w:val="auto"/>
          <w:sz w:val="28"/>
          <w:szCs w:val="28"/>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年</w:t>
      </w:r>
      <w:r>
        <w:rPr>
          <w:rFonts w:hint="eastAsia" w:eastAsia="黑体"/>
          <w:color w:val="auto"/>
          <w:sz w:val="28"/>
          <w:szCs w:val="28"/>
          <w:highlight w:val="none"/>
          <w:u w:val="single"/>
        </w:rPr>
        <w:t xml:space="preserve">     </w:t>
      </w:r>
      <w:r>
        <w:rPr>
          <w:rFonts w:eastAsia="黑体"/>
          <w:color w:val="auto"/>
          <w:sz w:val="28"/>
          <w:szCs w:val="28"/>
          <w:highlight w:val="none"/>
        </w:rPr>
        <w:t>月</w:t>
      </w:r>
      <w:r>
        <w:rPr>
          <w:rFonts w:hint="eastAsia" w:eastAsia="黑体"/>
          <w:color w:val="auto"/>
          <w:sz w:val="28"/>
          <w:szCs w:val="28"/>
          <w:highlight w:val="none"/>
          <w:u w:val="single"/>
        </w:rPr>
        <w:t xml:space="preserve">     </w:t>
      </w:r>
      <w:r>
        <w:rPr>
          <w:rFonts w:eastAsia="黑体"/>
          <w:color w:val="auto"/>
          <w:sz w:val="28"/>
          <w:szCs w:val="28"/>
          <w:highlight w:val="none"/>
        </w:rPr>
        <w:t>日</w:t>
      </w:r>
    </w:p>
    <w:p>
      <w:pPr>
        <w:rPr>
          <w:color w:val="auto"/>
          <w:highlight w:val="none"/>
        </w:rPr>
      </w:pPr>
      <w:bookmarkStart w:id="996" w:name="_Toc35425137"/>
      <w:bookmarkStart w:id="997" w:name="_Toc12683"/>
      <w:bookmarkStart w:id="998" w:name="_Toc35424971"/>
    </w:p>
    <w:p>
      <w:pPr>
        <w:spacing w:beforeLines="50" w:afterLines="50" w:line="440" w:lineRule="exact"/>
        <w:ind w:firstLine="643" w:firstLineChars="200"/>
        <w:jc w:val="left"/>
        <w:rPr>
          <w:rFonts w:ascii="宋体" w:hAnsi="宋体" w:cs="宋体"/>
          <w:b/>
          <w:color w:val="auto"/>
          <w:sz w:val="28"/>
          <w:szCs w:val="28"/>
          <w:highlight w:val="none"/>
        </w:rPr>
      </w:pPr>
      <w:bookmarkStart w:id="999" w:name="_Toc78803399"/>
      <w:r>
        <w:rPr>
          <w:rStyle w:val="121"/>
          <w:rFonts w:hint="eastAsia" w:ascii="宋体" w:hAnsi="宋体" w:cs="宋体"/>
          <w:color w:val="auto"/>
          <w:sz w:val="32"/>
          <w:highlight w:val="none"/>
        </w:rPr>
        <w:br w:type="page"/>
      </w:r>
      <w:r>
        <w:rPr>
          <w:rStyle w:val="121"/>
          <w:rFonts w:hint="eastAsia" w:ascii="宋体" w:hAnsi="宋体" w:cs="宋体"/>
          <w:color w:val="auto"/>
          <w:sz w:val="32"/>
          <w:highlight w:val="none"/>
        </w:rPr>
        <w:t>投标文件一</w:t>
      </w:r>
      <w:bookmarkEnd w:id="996"/>
      <w:bookmarkEnd w:id="997"/>
      <w:bookmarkEnd w:id="998"/>
      <w:bookmarkEnd w:id="999"/>
      <w:r>
        <w:rPr>
          <w:rFonts w:hint="eastAsia" w:ascii="宋体" w:hAnsi="宋体" w:cs="宋体"/>
          <w:b/>
          <w:color w:val="auto"/>
          <w:sz w:val="28"/>
          <w:szCs w:val="28"/>
          <w:highlight w:val="none"/>
        </w:rPr>
        <w:t>：资信证明文件目录</w:t>
      </w:r>
    </w:p>
    <w:p>
      <w:pPr>
        <w:spacing w:line="440" w:lineRule="exact"/>
        <w:ind w:right="-168" w:rightChars="-80"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（1）法定代表人身份证明和本人有效身份证(或法定代表人授权委托书和委托代理人有效身份证)；</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（2）诚信投标承诺书；</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（3）企业法人营业执照；</w:t>
      </w:r>
    </w:p>
    <w:p>
      <w:pPr>
        <w:spacing w:line="44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（4）</w:t>
      </w:r>
      <w:r>
        <w:rPr>
          <w:rFonts w:hint="eastAsia" w:ascii="宋体" w:hAnsi="宋体" w:cs="宋体"/>
          <w:color w:val="auto"/>
          <w:szCs w:val="21"/>
          <w:highlight w:val="none"/>
          <w:lang w:val="en-US" w:eastAsia="zh-CN"/>
        </w:rPr>
        <w:t>企业资质证书；</w:t>
      </w:r>
    </w:p>
    <w:p>
      <w:pPr>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eastAsia="zh-CN"/>
        </w:rPr>
        <w:t>）</w:t>
      </w:r>
      <w:r>
        <w:rPr>
          <w:rFonts w:hint="eastAsia" w:ascii="宋体" w:hAnsi="宋体" w:cs="宋体"/>
          <w:color w:val="auto"/>
          <w:szCs w:val="21"/>
          <w:highlight w:val="none"/>
        </w:rPr>
        <w:t>企业安全生产许可证</w:t>
      </w:r>
      <w:r>
        <w:rPr>
          <w:rFonts w:hint="eastAsia" w:ascii="宋体" w:hAnsi="宋体" w:cs="宋体"/>
          <w:color w:val="auto"/>
          <w:szCs w:val="21"/>
          <w:highlight w:val="none"/>
          <w:lang w:eastAsia="zh-CN"/>
        </w:rPr>
        <w:t>；</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lang w:eastAsia="zh-CN"/>
        </w:rPr>
        <w:t>）项目经理（建造师）有效身份证、注册证书以及安全生产考核合格证书（B证）</w:t>
      </w:r>
      <w:r>
        <w:rPr>
          <w:rFonts w:hint="eastAsia" w:ascii="宋体" w:hAnsi="宋体" w:cs="宋体"/>
          <w:color w:val="auto"/>
          <w:szCs w:val="21"/>
          <w:highlight w:val="none"/>
        </w:rPr>
        <w:t>；</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投标人的法定代表人(或委托代理人)和拟任项目经理（建造师）须持有社保部门出具的本单位为其缴纳的投标前近三个月连续的养老保险证明（含官网在线打印件，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资信标</w:t>
      </w:r>
      <w:r>
        <w:rPr>
          <w:rFonts w:hint="eastAsia" w:ascii="宋体" w:hAnsi="宋体" w:cs="宋体"/>
          <w:color w:val="auto"/>
          <w:szCs w:val="21"/>
          <w:highlight w:val="none"/>
        </w:rPr>
        <w:t>投标人认为需要的其它证明材料。</w:t>
      </w:r>
    </w:p>
    <w:p>
      <w:pPr>
        <w:spacing w:line="360" w:lineRule="auto"/>
        <w:jc w:val="center"/>
        <w:rPr>
          <w:rFonts w:ascii="宋体"/>
          <w:b/>
          <w:color w:val="auto"/>
          <w:sz w:val="28"/>
          <w:szCs w:val="28"/>
          <w:highlight w:val="none"/>
        </w:rPr>
      </w:pPr>
      <w:r>
        <w:rPr>
          <w:rFonts w:hint="eastAsia"/>
          <w:b/>
          <w:color w:val="auto"/>
          <w:sz w:val="28"/>
          <w:szCs w:val="28"/>
          <w:highlight w:val="none"/>
        </w:rPr>
        <w:br w:type="page"/>
      </w:r>
      <w:r>
        <w:rPr>
          <w:rFonts w:hint="eastAsia"/>
          <w:b/>
          <w:color w:val="auto"/>
          <w:sz w:val="28"/>
          <w:szCs w:val="28"/>
          <w:highlight w:val="none"/>
        </w:rPr>
        <w:t>（1）法定代表人身份证明或授权委托书</w:t>
      </w:r>
    </w:p>
    <w:p>
      <w:pPr>
        <w:pStyle w:val="75"/>
        <w:keepNext w:val="0"/>
        <w:keepLines w:val="0"/>
        <w:pageBreakBefore w:val="0"/>
        <w:kinsoku/>
        <w:wordWrap/>
        <w:overflowPunct/>
        <w:topLinePunct w:val="0"/>
        <w:autoSpaceDE/>
        <w:autoSpaceDN/>
        <w:bidi w:val="0"/>
        <w:adjustRightInd/>
        <w:snapToGrid/>
        <w:spacing w:beforeLines="100" w:afterLines="100" w:line="440" w:lineRule="exact"/>
        <w:rPr>
          <w:rFonts w:ascii="宋体"/>
          <w:b/>
          <w:color w:val="auto"/>
          <w:sz w:val="24"/>
          <w:szCs w:val="24"/>
          <w:highlight w:val="none"/>
        </w:rPr>
      </w:pPr>
      <w:bookmarkStart w:id="1000" w:name="_Toc506107356"/>
      <w:bookmarkStart w:id="1001" w:name="_Toc26598"/>
      <w:bookmarkStart w:id="1002" w:name="_Toc503196197"/>
      <w:r>
        <w:rPr>
          <w:rFonts w:hint="eastAsia" w:ascii="宋体"/>
          <w:color w:val="auto"/>
          <w:sz w:val="24"/>
          <w:szCs w:val="24"/>
          <w:highlight w:val="none"/>
        </w:rPr>
        <w:t>1、法定代表人身份证明</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投标人名称：</w:t>
      </w:r>
      <w:r>
        <w:rPr>
          <w:rFonts w:hint="eastAsia" w:ascii="宋体"/>
          <w:color w:val="auto"/>
          <w:sz w:val="24"/>
          <w:highlight w:val="none"/>
          <w:u w:val="single"/>
        </w:rPr>
        <w:t xml:space="preserve">                            </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单位性质：</w:t>
      </w:r>
      <w:r>
        <w:rPr>
          <w:rFonts w:hint="eastAsia" w:ascii="宋体"/>
          <w:color w:val="auto"/>
          <w:sz w:val="24"/>
          <w:highlight w:val="none"/>
          <w:u w:val="single"/>
        </w:rPr>
        <w:t xml:space="preserve">                              </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地    址：</w:t>
      </w:r>
      <w:r>
        <w:rPr>
          <w:rFonts w:hint="eastAsia" w:ascii="宋体"/>
          <w:color w:val="auto"/>
          <w:sz w:val="24"/>
          <w:highlight w:val="none"/>
          <w:u w:val="single"/>
        </w:rPr>
        <w:t xml:space="preserve">                              </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成立时间：</w:t>
      </w:r>
      <w:r>
        <w:rPr>
          <w:rFonts w:hint="eastAsia" w:ascii="宋体"/>
          <w:color w:val="auto"/>
          <w:sz w:val="24"/>
          <w:highlight w:val="none"/>
          <w:u w:val="single"/>
        </w:rPr>
        <w:t xml:space="preserve">     </w:t>
      </w:r>
      <w:r>
        <w:rPr>
          <w:rFonts w:hint="eastAsia" w:ascii="宋体"/>
          <w:color w:val="auto"/>
          <w:sz w:val="24"/>
          <w:highlight w:val="none"/>
        </w:rPr>
        <w:t>年</w:t>
      </w:r>
      <w:r>
        <w:rPr>
          <w:rFonts w:hint="eastAsia" w:ascii="宋体"/>
          <w:color w:val="auto"/>
          <w:sz w:val="24"/>
          <w:highlight w:val="none"/>
          <w:u w:val="single"/>
        </w:rPr>
        <w:t xml:space="preserve">   </w:t>
      </w:r>
      <w:r>
        <w:rPr>
          <w:rFonts w:hint="eastAsia" w:ascii="宋体"/>
          <w:color w:val="auto"/>
          <w:sz w:val="24"/>
          <w:highlight w:val="none"/>
        </w:rPr>
        <w:t>月</w:t>
      </w:r>
      <w:r>
        <w:rPr>
          <w:rFonts w:hint="eastAsia" w:ascii="宋体"/>
          <w:color w:val="auto"/>
          <w:sz w:val="24"/>
          <w:highlight w:val="none"/>
          <w:u w:val="single"/>
        </w:rPr>
        <w:t xml:space="preserve">   </w:t>
      </w:r>
      <w:r>
        <w:rPr>
          <w:rFonts w:hint="eastAsia" w:ascii="宋体"/>
          <w:color w:val="auto"/>
          <w:sz w:val="24"/>
          <w:highlight w:val="none"/>
        </w:rPr>
        <w:t>日</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经营期限：</w:t>
      </w:r>
      <w:r>
        <w:rPr>
          <w:rFonts w:hint="eastAsia" w:ascii="宋体"/>
          <w:color w:val="auto"/>
          <w:sz w:val="24"/>
          <w:highlight w:val="none"/>
          <w:u w:val="single"/>
        </w:rPr>
        <w:t xml:space="preserve">                              </w:t>
      </w:r>
    </w:p>
    <w:p>
      <w:pPr>
        <w:keepNext w:val="0"/>
        <w:keepLines w:val="0"/>
        <w:pageBreakBefore w:val="0"/>
        <w:kinsoku/>
        <w:wordWrap/>
        <w:overflowPunct/>
        <w:topLinePunct w:val="0"/>
        <w:autoSpaceDE/>
        <w:autoSpaceDN/>
        <w:bidi w:val="0"/>
        <w:adjustRightInd/>
        <w:snapToGrid/>
        <w:spacing w:line="440" w:lineRule="exact"/>
        <w:jc w:val="left"/>
        <w:rPr>
          <w:rFonts w:ascii="宋体"/>
          <w:color w:val="auto"/>
          <w:sz w:val="24"/>
          <w:highlight w:val="none"/>
          <w:u w:val="single"/>
        </w:rPr>
      </w:pPr>
      <w:r>
        <w:rPr>
          <w:rFonts w:hint="eastAsia" w:ascii="宋体"/>
          <w:color w:val="auto"/>
          <w:spacing w:val="240"/>
          <w:sz w:val="24"/>
          <w:highlight w:val="none"/>
        </w:rPr>
        <w:t>姓</w:t>
      </w:r>
      <w:r>
        <w:rPr>
          <w:rFonts w:hint="eastAsia" w:ascii="宋体"/>
          <w:color w:val="auto"/>
          <w:sz w:val="24"/>
          <w:highlight w:val="none"/>
        </w:rPr>
        <w:t>名：</w:t>
      </w:r>
      <w:r>
        <w:rPr>
          <w:rFonts w:hint="eastAsia" w:ascii="宋体"/>
          <w:color w:val="auto"/>
          <w:sz w:val="24"/>
          <w:highlight w:val="none"/>
          <w:u w:val="single"/>
        </w:rPr>
        <w:t xml:space="preserve">     </w:t>
      </w:r>
      <w:r>
        <w:rPr>
          <w:rFonts w:hint="eastAsia" w:ascii="宋体"/>
          <w:color w:val="auto"/>
          <w:sz w:val="24"/>
          <w:highlight w:val="none"/>
        </w:rPr>
        <w:t>身份证号码：</w:t>
      </w:r>
      <w:r>
        <w:rPr>
          <w:rFonts w:hint="eastAsia" w:ascii="宋体"/>
          <w:color w:val="auto"/>
          <w:sz w:val="24"/>
          <w:highlight w:val="none"/>
          <w:u w:val="single"/>
        </w:rPr>
        <w:t xml:space="preserve">     </w:t>
      </w:r>
      <w:r>
        <w:rPr>
          <w:rFonts w:hint="eastAsia" w:ascii="宋体"/>
          <w:color w:val="auto"/>
          <w:sz w:val="24"/>
          <w:highlight w:val="none"/>
        </w:rPr>
        <w:t>性别</w:t>
      </w:r>
      <w:r>
        <w:rPr>
          <w:rFonts w:hint="eastAsia" w:ascii="宋体"/>
          <w:color w:val="auto"/>
          <w:sz w:val="24"/>
          <w:highlight w:val="none"/>
          <w:u w:val="single"/>
        </w:rPr>
        <w:t xml:space="preserve">：    </w:t>
      </w:r>
      <w:r>
        <w:rPr>
          <w:rFonts w:hint="eastAsia" w:ascii="宋体"/>
          <w:color w:val="auto"/>
          <w:sz w:val="24"/>
          <w:highlight w:val="none"/>
        </w:rPr>
        <w:t>年龄：</w:t>
      </w:r>
      <w:r>
        <w:rPr>
          <w:rFonts w:hint="eastAsia" w:ascii="宋体"/>
          <w:color w:val="auto"/>
          <w:sz w:val="24"/>
          <w:highlight w:val="none"/>
          <w:u w:val="single"/>
        </w:rPr>
        <w:t xml:space="preserve">＿  </w:t>
      </w:r>
      <w:r>
        <w:rPr>
          <w:rFonts w:hint="eastAsia" w:ascii="宋体"/>
          <w:color w:val="auto"/>
          <w:sz w:val="24"/>
          <w:highlight w:val="none"/>
        </w:rPr>
        <w:t>职务：</w:t>
      </w:r>
      <w:r>
        <w:rPr>
          <w:rFonts w:hint="eastAsia" w:ascii="宋体"/>
          <w:color w:val="auto"/>
          <w:sz w:val="24"/>
          <w:highlight w:val="none"/>
          <w:u w:val="single"/>
        </w:rPr>
        <w:t xml:space="preserve">     </w:t>
      </w:r>
      <w:r>
        <w:rPr>
          <w:rFonts w:hint="eastAsia" w:ascii="宋体"/>
          <w:color w:val="auto"/>
          <w:sz w:val="24"/>
          <w:highlight w:val="none"/>
        </w:rPr>
        <w:t>，系</w:t>
      </w:r>
      <w:r>
        <w:rPr>
          <w:rFonts w:hint="eastAsia" w:ascii="宋体"/>
          <w:color w:val="auto"/>
          <w:sz w:val="24"/>
          <w:highlight w:val="none"/>
          <w:u w:val="single"/>
        </w:rPr>
        <w:t xml:space="preserve">     （投标人名称）</w:t>
      </w:r>
      <w:r>
        <w:rPr>
          <w:rFonts w:hint="eastAsia" w:ascii="宋体"/>
          <w:color w:val="auto"/>
          <w:sz w:val="24"/>
          <w:highlight w:val="none"/>
        </w:rPr>
        <w:t>的法定代表人。</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特此证明。</w:t>
      </w:r>
    </w:p>
    <w:p>
      <w:pPr>
        <w:keepNext w:val="0"/>
        <w:keepLines w:val="0"/>
        <w:pageBreakBefore w:val="0"/>
        <w:kinsoku/>
        <w:wordWrap/>
        <w:overflowPunct/>
        <w:topLinePunct w:val="0"/>
        <w:autoSpaceDE/>
        <w:autoSpaceDN/>
        <w:bidi w:val="0"/>
        <w:adjustRightInd/>
        <w:snapToGrid/>
        <w:spacing w:line="440" w:lineRule="exact"/>
        <w:ind w:firstLine="3720" w:firstLineChars="1550"/>
        <w:rPr>
          <w:rFonts w:ascii="宋体"/>
          <w:color w:val="auto"/>
          <w:sz w:val="24"/>
          <w:highlight w:val="none"/>
        </w:rPr>
      </w:pPr>
      <w:r>
        <w:rPr>
          <w:rFonts w:hint="eastAsia" w:ascii="宋体"/>
          <w:color w:val="auto"/>
          <w:sz w:val="24"/>
          <w:highlight w:val="none"/>
        </w:rPr>
        <w:t>投标人：</w:t>
      </w:r>
      <w:r>
        <w:rPr>
          <w:rFonts w:hint="eastAsia" w:ascii="宋体"/>
          <w:color w:val="auto"/>
          <w:sz w:val="24"/>
          <w:highlight w:val="none"/>
          <w:u w:val="single"/>
        </w:rPr>
        <w:t xml:space="preserve">            （</w:t>
      </w:r>
      <w:r>
        <w:rPr>
          <w:rFonts w:hint="eastAsia" w:ascii="宋体"/>
          <w:color w:val="auto"/>
          <w:sz w:val="24"/>
          <w:highlight w:val="none"/>
          <w:u w:val="single"/>
          <w:lang w:val="en-US" w:eastAsia="zh-CN"/>
        </w:rPr>
        <w:t>盖</w:t>
      </w:r>
      <w:r>
        <w:rPr>
          <w:rFonts w:hint="eastAsia" w:ascii="宋体"/>
          <w:color w:val="auto"/>
          <w:sz w:val="24"/>
          <w:highlight w:val="none"/>
          <w:u w:val="single"/>
        </w:rPr>
        <w:t>章）</w:t>
      </w:r>
    </w:p>
    <w:p>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 xml:space="preserve">                                        年    月     日</w:t>
      </w:r>
    </w:p>
    <w:p>
      <w:pPr>
        <w:keepNext w:val="0"/>
        <w:keepLines w:val="0"/>
        <w:pageBreakBefore w:val="0"/>
        <w:kinsoku/>
        <w:wordWrap/>
        <w:overflowPunct/>
        <w:topLinePunct w:val="0"/>
        <w:autoSpaceDE/>
        <w:autoSpaceDN/>
        <w:bidi w:val="0"/>
        <w:adjustRightInd/>
        <w:snapToGrid/>
        <w:spacing w:line="440" w:lineRule="exact"/>
        <w:rPr>
          <w:color w:val="auto"/>
          <w:highlight w:val="none"/>
        </w:rPr>
      </w:pPr>
    </w:p>
    <w:p>
      <w:pPr>
        <w:pStyle w:val="75"/>
        <w:keepNext w:val="0"/>
        <w:keepLines w:val="0"/>
        <w:pageBreakBefore w:val="0"/>
        <w:kinsoku/>
        <w:wordWrap/>
        <w:overflowPunct/>
        <w:topLinePunct w:val="0"/>
        <w:autoSpaceDE/>
        <w:autoSpaceDN/>
        <w:bidi w:val="0"/>
        <w:adjustRightInd/>
        <w:snapToGrid/>
        <w:spacing w:beforeLines="100" w:afterLines="100" w:line="440" w:lineRule="exact"/>
        <w:rPr>
          <w:rFonts w:ascii="宋体"/>
          <w:color w:val="auto"/>
          <w:sz w:val="24"/>
          <w:szCs w:val="24"/>
          <w:highlight w:val="none"/>
        </w:rPr>
      </w:pPr>
      <w:r>
        <w:rPr>
          <w:rFonts w:hint="eastAsia" w:ascii="宋体"/>
          <w:color w:val="auto"/>
          <w:sz w:val="24"/>
          <w:szCs w:val="24"/>
          <w:highlight w:val="none"/>
        </w:rPr>
        <w:t>或1、授权委托书</w:t>
      </w:r>
    </w:p>
    <w:p>
      <w:pPr>
        <w:keepNext w:val="0"/>
        <w:keepLines w:val="0"/>
        <w:pageBreakBefore w:val="0"/>
        <w:kinsoku/>
        <w:wordWrap/>
        <w:overflowPunct/>
        <w:topLinePunct w:val="0"/>
        <w:autoSpaceDE/>
        <w:autoSpaceDN/>
        <w:bidi w:val="0"/>
        <w:adjustRightInd/>
        <w:snapToGrid/>
        <w:spacing w:line="440" w:lineRule="exact"/>
        <w:ind w:firstLine="480" w:firstLineChars="200"/>
        <w:jc w:val="left"/>
        <w:rPr>
          <w:rFonts w:ascii="宋体"/>
          <w:color w:val="auto"/>
          <w:sz w:val="24"/>
          <w:highlight w:val="none"/>
        </w:rPr>
      </w:pPr>
      <w:r>
        <w:rPr>
          <w:rFonts w:hint="eastAsia" w:ascii="宋体"/>
          <w:color w:val="auto"/>
          <w:sz w:val="24"/>
          <w:highlight w:val="none"/>
        </w:rPr>
        <w:t>本人</w:t>
      </w:r>
      <w:r>
        <w:rPr>
          <w:rFonts w:hint="eastAsia" w:ascii="宋体"/>
          <w:color w:val="auto"/>
          <w:sz w:val="24"/>
          <w:highlight w:val="none"/>
          <w:u w:val="single"/>
        </w:rPr>
        <w:t xml:space="preserve"> （姓名）</w:t>
      </w:r>
      <w:r>
        <w:rPr>
          <w:rFonts w:hint="eastAsia" w:ascii="宋体"/>
          <w:color w:val="auto"/>
          <w:sz w:val="24"/>
          <w:highlight w:val="none"/>
        </w:rPr>
        <w:t>系</w:t>
      </w:r>
      <w:r>
        <w:rPr>
          <w:rFonts w:hint="eastAsia" w:ascii="宋体"/>
          <w:color w:val="auto"/>
          <w:sz w:val="24"/>
          <w:highlight w:val="none"/>
          <w:u w:val="single"/>
        </w:rPr>
        <w:t>（投标人）</w:t>
      </w:r>
      <w:r>
        <w:rPr>
          <w:rFonts w:hint="eastAsia" w:ascii="宋体"/>
          <w:color w:val="auto"/>
          <w:sz w:val="24"/>
          <w:highlight w:val="none"/>
        </w:rPr>
        <w:t>的法定代表人，现委托</w:t>
      </w:r>
      <w:r>
        <w:rPr>
          <w:rFonts w:hint="eastAsia" w:ascii="宋体"/>
          <w:color w:val="auto"/>
          <w:sz w:val="24"/>
          <w:highlight w:val="none"/>
          <w:u w:val="single"/>
        </w:rPr>
        <w:t>（姓名）</w:t>
      </w:r>
      <w:r>
        <w:rPr>
          <w:rFonts w:hint="eastAsia" w:ascii="宋体"/>
          <w:color w:val="auto"/>
          <w:sz w:val="24"/>
          <w:highlight w:val="none"/>
        </w:rPr>
        <w:t>为我方代理人。代理人根据授权，以我方名义签署、澄清、说明、补正、递交、撤回、修改</w:t>
      </w:r>
      <w:r>
        <w:rPr>
          <w:rFonts w:hint="eastAsia" w:ascii="宋体"/>
          <w:color w:val="auto"/>
          <w:sz w:val="24"/>
          <w:highlight w:val="none"/>
          <w:u w:val="single"/>
        </w:rPr>
        <w:t xml:space="preserve"> “   ”(项目名称）</w:t>
      </w:r>
      <w:r>
        <w:rPr>
          <w:rFonts w:hint="eastAsia" w:ascii="宋体"/>
          <w:color w:val="auto"/>
          <w:sz w:val="24"/>
          <w:highlight w:val="none"/>
        </w:rPr>
        <w:t>投标文件，全权处理与该项目投标、评审答疑、签订合同以及与合同执行有关的一切事务，其法律后果由我方承担。</w:t>
      </w:r>
    </w:p>
    <w:p>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color w:val="auto"/>
          <w:sz w:val="24"/>
          <w:highlight w:val="none"/>
        </w:rPr>
      </w:pPr>
      <w:r>
        <w:rPr>
          <w:rFonts w:hint="eastAsia" w:ascii="宋体"/>
          <w:color w:val="auto"/>
          <w:sz w:val="24"/>
          <w:highlight w:val="none"/>
        </w:rPr>
        <w:t>委托期限：</w:t>
      </w:r>
      <w:r>
        <w:rPr>
          <w:rFonts w:hint="eastAsia" w:ascii="宋体"/>
          <w:color w:val="auto"/>
          <w:sz w:val="24"/>
          <w:highlight w:val="none"/>
          <w:u w:val="single"/>
          <w:lang w:val="en-US" w:eastAsia="zh-CN"/>
        </w:rPr>
        <w:t xml:space="preserve">              </w:t>
      </w:r>
      <w:r>
        <w:rPr>
          <w:rFonts w:hint="eastAsia" w:ascii="宋体" w:cs="宋体"/>
          <w:color w:val="auto"/>
          <w:sz w:val="24"/>
          <w:highlight w:val="none"/>
        </w:rPr>
        <w:t>。</w:t>
      </w:r>
    </w:p>
    <w:p>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color w:val="auto"/>
          <w:sz w:val="24"/>
          <w:highlight w:val="none"/>
        </w:rPr>
      </w:pPr>
      <w:r>
        <w:rPr>
          <w:rFonts w:hint="eastAsia" w:ascii="宋体"/>
          <w:color w:val="auto"/>
          <w:sz w:val="24"/>
          <w:highlight w:val="none"/>
        </w:rPr>
        <w:t>代理人无转委托权。</w:t>
      </w:r>
    </w:p>
    <w:p>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b/>
          <w:color w:val="auto"/>
          <w:sz w:val="24"/>
          <w:highlight w:val="none"/>
        </w:rPr>
      </w:pPr>
      <w:r>
        <w:rPr>
          <w:rFonts w:hint="eastAsia" w:ascii="宋体"/>
          <w:color w:val="auto"/>
          <w:sz w:val="24"/>
          <w:highlight w:val="none"/>
        </w:rPr>
        <w:t>附：</w:t>
      </w:r>
      <w:r>
        <w:rPr>
          <w:rFonts w:hint="eastAsia" w:ascii="宋体"/>
          <w:b/>
          <w:color w:val="auto"/>
          <w:sz w:val="24"/>
          <w:highlight w:val="none"/>
        </w:rPr>
        <w:t>委托代理人有效身份证扫描件</w:t>
      </w:r>
    </w:p>
    <w:p>
      <w:pPr>
        <w:keepNext w:val="0"/>
        <w:keepLines w:val="0"/>
        <w:pageBreakBefore w:val="0"/>
        <w:kinsoku/>
        <w:wordWrap/>
        <w:overflowPunct/>
        <w:topLinePunct w:val="0"/>
        <w:autoSpaceDE/>
        <w:autoSpaceDN/>
        <w:bidi w:val="0"/>
        <w:adjustRightInd/>
        <w:snapToGrid/>
        <w:spacing w:line="440" w:lineRule="exact"/>
        <w:ind w:firstLine="964" w:firstLineChars="400"/>
        <w:rPr>
          <w:rFonts w:ascii="宋体"/>
          <w:b/>
          <w:color w:val="auto"/>
          <w:sz w:val="24"/>
          <w:highlight w:val="none"/>
        </w:rPr>
      </w:pPr>
      <w:r>
        <w:rPr>
          <w:rFonts w:hint="eastAsia" w:ascii="宋体"/>
          <w:b/>
          <w:color w:val="auto"/>
          <w:sz w:val="24"/>
          <w:highlight w:val="none"/>
        </w:rPr>
        <w:t>法定代表人有效身份证扫描件</w:t>
      </w:r>
    </w:p>
    <w:p>
      <w:pPr>
        <w:keepNext w:val="0"/>
        <w:keepLines w:val="0"/>
        <w:pageBreakBefore w:val="0"/>
        <w:kinsoku/>
        <w:wordWrap/>
        <w:overflowPunct/>
        <w:topLinePunct w:val="0"/>
        <w:autoSpaceDE/>
        <w:autoSpaceDN/>
        <w:bidi w:val="0"/>
        <w:adjustRightInd/>
        <w:snapToGrid/>
        <w:spacing w:line="440" w:lineRule="exact"/>
        <w:ind w:firstLine="833" w:firstLineChars="397"/>
        <w:rPr>
          <w:color w:val="auto"/>
          <w:highlight w:val="none"/>
        </w:rPr>
      </w:pPr>
    </w:p>
    <w:p>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 xml:space="preserve"> 投标人（盖章）：</w:t>
      </w:r>
    </w:p>
    <w:p>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法定代表人（身份证号码）：    （签字或盖章）</w:t>
      </w:r>
    </w:p>
    <w:p>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委托代理人（身份证号码）：    （签字或盖章）</w:t>
      </w:r>
    </w:p>
    <w:p>
      <w:pPr>
        <w:keepNext w:val="0"/>
        <w:keepLines w:val="0"/>
        <w:pageBreakBefore w:val="0"/>
        <w:kinsoku/>
        <w:wordWrap/>
        <w:overflowPunct/>
        <w:topLinePunct w:val="0"/>
        <w:autoSpaceDE/>
        <w:autoSpaceDN/>
        <w:bidi w:val="0"/>
        <w:adjustRightInd/>
        <w:snapToGrid/>
        <w:spacing w:line="440" w:lineRule="exact"/>
        <w:ind w:firstLine="5040" w:firstLineChars="2100"/>
        <w:rPr>
          <w:rFonts w:ascii="宋体"/>
          <w:color w:val="auto"/>
          <w:sz w:val="24"/>
          <w:highlight w:val="none"/>
        </w:rPr>
      </w:pPr>
      <w:r>
        <w:rPr>
          <w:rFonts w:hint="eastAsia" w:ascii="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440" w:lineRule="exact"/>
        <w:ind w:firstLine="5700" w:firstLineChars="2375"/>
        <w:rPr>
          <w:rFonts w:ascii="宋体"/>
          <w:color w:val="auto"/>
          <w:sz w:val="24"/>
          <w:highlight w:val="none"/>
        </w:rPr>
      </w:pPr>
      <w:r>
        <w:rPr>
          <w:rFonts w:hint="eastAsia" w:ascii="宋体"/>
          <w:color w:val="auto"/>
          <w:sz w:val="24"/>
          <w:highlight w:val="none"/>
        </w:rPr>
        <w:t>年    月    日</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b/>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28"/>
          <w:szCs w:val="28"/>
          <w:highlight w:val="none"/>
        </w:rPr>
      </w:pPr>
      <w:r>
        <w:rPr>
          <w:rFonts w:hint="eastAsia"/>
          <w:b/>
          <w:color w:val="auto"/>
          <w:sz w:val="28"/>
          <w:szCs w:val="28"/>
          <w:highlight w:val="none"/>
        </w:rPr>
        <w:t>（2）诚信投标承诺书</w:t>
      </w:r>
      <w:bookmarkEnd w:id="1000"/>
      <w:bookmarkEnd w:id="1001"/>
      <w:bookmarkEnd w:id="1002"/>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color w:val="auto"/>
          <w:szCs w:val="21"/>
          <w:highlight w:val="none"/>
        </w:rPr>
      </w:pPr>
      <w:r>
        <w:rPr>
          <w:rFonts w:hint="eastAsia" w:ascii="宋体" w:hAnsi="宋体"/>
          <w:color w:val="auto"/>
          <w:szCs w:val="21"/>
          <w:highlight w:val="none"/>
        </w:rPr>
        <w:t>本人以企业法定代表人的身份郑重承诺：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一、将遵循公开、公正和诚实信用的原则自愿参加</w:t>
      </w:r>
      <w:r>
        <w:rPr>
          <w:rFonts w:hint="eastAsia" w:ascii="宋体" w:hAnsi="宋体"/>
          <w:color w:val="auto"/>
          <w:szCs w:val="21"/>
          <w:highlight w:val="none"/>
          <w:u w:val="single"/>
        </w:rPr>
        <w:t xml:space="preserve">       （项目名称）        </w:t>
      </w:r>
      <w:r>
        <w:rPr>
          <w:rFonts w:hint="eastAsia" w:ascii="宋体" w:hAnsi="宋体"/>
          <w:color w:val="auto"/>
          <w:szCs w:val="21"/>
          <w:highlight w:val="none"/>
        </w:rPr>
        <w:t>项目的投标；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二、所提供的一切材料都是真实、有效、合法的；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三、不出借、转让资质证书，不让他人挂靠投标，不以他人名义投标或者以其他方式弄虚作假，骗取中标；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四、不与其他投标人相互串通投标报价，不排挤其他投标人的公平竞争、损害招标人的合法权益；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五、不与招标人、招标代理机构或其他投标人串通投标，损害国家利益、社会公共利益或者他人的合法权益；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color w:val="auto"/>
          <w:szCs w:val="21"/>
          <w:highlight w:val="none"/>
        </w:rPr>
      </w:pPr>
      <w:r>
        <w:rPr>
          <w:rFonts w:hint="eastAsia" w:ascii="宋体" w:hAnsi="宋体"/>
          <w:color w:val="auto"/>
          <w:szCs w:val="21"/>
          <w:highlight w:val="none"/>
        </w:rPr>
        <w:t>六、</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rPr>
        <w:t>没有下列情形： 1、被人民法院列入失信被执行人的；2、我公司及其法定代表人、拟任项目经理（</w:t>
      </w:r>
      <w:r>
        <w:rPr>
          <w:rFonts w:hint="eastAsia" w:ascii="宋体" w:hAnsi="宋体"/>
          <w:color w:val="auto"/>
          <w:szCs w:val="21"/>
          <w:highlight w:val="none"/>
          <w:lang w:val="en-US" w:eastAsia="zh-CN"/>
        </w:rPr>
        <w:t>总监理工程师</w:t>
      </w:r>
      <w:r>
        <w:rPr>
          <w:rFonts w:hint="eastAsia" w:ascii="宋体" w:hAnsi="宋体"/>
          <w:color w:val="auto"/>
          <w:szCs w:val="21"/>
          <w:highlight w:val="none"/>
        </w:rPr>
        <w:t>）前三年有行贿犯罪行为的；3、被市场监督管理部门列入经营异常名录或者严重违法企业名单的，且未被移除的；4、被税务部门列入重大税收违法案件当事人的；5、在“信用中国”网站上披露仍在公示期的严重失信行为的；6、被滁州市县两级各行业主管部门及公管部门取消在一定期限内的投标资格且在取消期限内的；7、被滁州市县两级公管部门记入不良行为记录或者信用信息记录，且在披露期内的；8、被人力资源社会保障主管部门列入拖欠农民工工资‘黑名单’或因拖欠农民工工资被县级及以上有关行政主管部门限制投标资格且在限制期限内的；9、</w:t>
      </w:r>
      <w:r>
        <w:rPr>
          <w:rFonts w:hint="eastAsia"/>
          <w:color w:val="auto"/>
          <w:szCs w:val="21"/>
          <w:highlight w:val="none"/>
        </w:rPr>
        <w:t>被列入省级、市级农民工工资支付异常名录的施工企业，限制其参加全市范围内房建和市政工程建设项目投标；列入县级异常名录的施工企业，限制其参加本行政区域内房建和市政建设项目投标。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七、严格遵守开标现场纪律，服从监管人员管理；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八、保证中标后不转包及使用挂靠施工队伍，若有分包征得建设单位同意；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九、保证中标之后，按照投标文件承诺派驻管理人员及投入机械设备，如有违反，同意接受建设单位违约处罚；</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十、保证企业及所属相关人员在本次投标中无行贿等犯罪行为；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w:t>
      </w:r>
      <w:r>
        <w:rPr>
          <w:rFonts w:hint="eastAsia" w:ascii="宋体" w:hAnsi="宋体"/>
          <w:color w:val="auto"/>
          <w:szCs w:val="21"/>
          <w:highlight w:val="none"/>
          <w:lang w:val="en-US" w:eastAsia="zh-CN"/>
        </w:rPr>
        <w:t>一</w:t>
      </w:r>
      <w:r>
        <w:rPr>
          <w:rFonts w:hint="eastAsia" w:ascii="宋体" w:hAnsi="宋体"/>
          <w:color w:val="auto"/>
          <w:szCs w:val="21"/>
          <w:highlight w:val="none"/>
        </w:rPr>
        <w:t>、如在投标过程和公示期间发生投诉行为，依法进行投诉。投诉内容符合要求，投诉材料加盖企业公章或由法定代表人授权委托人签字，并附有关身份证明复印件。不恶意投诉，对本公司提供的投诉线索的真实性负责，否则愿接受有关部门的处罚；</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w:t>
      </w:r>
      <w:r>
        <w:rPr>
          <w:rFonts w:hint="eastAsia" w:ascii="宋体" w:hAnsi="宋体"/>
          <w:color w:val="auto"/>
          <w:szCs w:val="21"/>
          <w:highlight w:val="none"/>
          <w:lang w:val="en-US" w:eastAsia="zh-CN"/>
        </w:rPr>
        <w:t>二</w:t>
      </w:r>
      <w:r>
        <w:rPr>
          <w:rFonts w:hint="eastAsia" w:ascii="宋体" w:hAnsi="宋体"/>
          <w:color w:val="auto"/>
          <w:szCs w:val="21"/>
          <w:highlight w:val="none"/>
        </w:rPr>
        <w:t>、如我公司中标，按照国务院《关于全面治理拖欠农民工工资问题的意见》（国办发[2016]1号）及国家住建部和人社部关于《建筑工人实名制管理办法》（建市[2019]18号）的规定，总承包单位对所承建的工程项目的建筑工人实名制管理负总责，对建筑工人实行实名制管理；实行人工费用与其他工程款分账管理制度；建筑工程承包单位必须开设农民工工资专户；建设单位在支付工程款时，应将人工费部分按规定汇入建筑工程承包单位的农民工工资专户，由建筑工程承包单位按劳动合同约定，通过农民工工资专户按月足额将工资发放给建筑工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以上内容我已仔细阅读，本公司若有违反承诺内容的行为，自愿接受取消投标或者中标资格、记入不良行为记录等有关处理，愿意承担法律责任，给招标人造成损失的，依法承担赔偿责任。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开户银行：                          基本账户：</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投标人（盖章）：              法定代表人（签字或</w:t>
      </w:r>
      <w:r>
        <w:rPr>
          <w:rFonts w:hint="eastAsia" w:ascii="宋体" w:hAnsi="宋体"/>
          <w:color w:val="auto"/>
          <w:szCs w:val="21"/>
          <w:highlight w:val="none"/>
          <w:lang w:val="en-US" w:eastAsia="zh-CN"/>
        </w:rPr>
        <w:t>盖</w:t>
      </w:r>
      <w:r>
        <w:rPr>
          <w:rFonts w:hint="eastAsia" w:ascii="宋体" w:hAnsi="宋体"/>
          <w:color w:val="auto"/>
          <w:szCs w:val="21"/>
          <w:highlight w:val="none"/>
        </w:rPr>
        <w:t>章）：</w:t>
      </w:r>
    </w:p>
    <w:p>
      <w:pPr>
        <w:keepNext w:val="0"/>
        <w:keepLines w:val="0"/>
        <w:pageBreakBefore w:val="0"/>
        <w:widowControl w:val="0"/>
        <w:kinsoku/>
        <w:wordWrap/>
        <w:overflowPunct/>
        <w:topLinePunct w:val="0"/>
        <w:autoSpaceDE/>
        <w:autoSpaceDN/>
        <w:bidi w:val="0"/>
        <w:adjustRightInd/>
        <w:snapToGrid/>
        <w:spacing w:line="360" w:lineRule="exact"/>
        <w:ind w:firstLine="5250" w:firstLineChars="2500"/>
        <w:textAlignment w:val="auto"/>
        <w:rPr>
          <w:color w:val="auto"/>
          <w:highlight w:val="none"/>
        </w:rPr>
      </w:pPr>
      <w:r>
        <w:rPr>
          <w:rFonts w:hint="eastAsia" w:ascii="宋体" w:hAnsi="宋体"/>
          <w:color w:val="auto"/>
          <w:szCs w:val="21"/>
          <w:highlight w:val="none"/>
        </w:rPr>
        <w:t>日期：    年   月   日</w:t>
      </w:r>
    </w:p>
    <w:p>
      <w:pPr>
        <w:rPr>
          <w:rFonts w:eastAsia="黑体"/>
          <w:color w:val="auto"/>
          <w:sz w:val="28"/>
          <w:szCs w:val="28"/>
          <w:highlight w:val="none"/>
          <w:u w:val="single"/>
        </w:rPr>
      </w:pPr>
      <w:r>
        <w:rPr>
          <w:rFonts w:hint="eastAsia" w:ascii="宋体" w:hAnsi="宋体"/>
          <w:b/>
          <w:color w:val="auto"/>
          <w:sz w:val="32"/>
          <w:szCs w:val="32"/>
          <w:highlight w:val="none"/>
        </w:rPr>
        <w:br w:type="page"/>
      </w:r>
    </w:p>
    <w:p>
      <w:pPr>
        <w:jc w:val="center"/>
        <w:rPr>
          <w:rFonts w:eastAsia="黑体"/>
          <w:color w:val="auto"/>
          <w:sz w:val="28"/>
          <w:szCs w:val="28"/>
          <w:highlight w:val="none"/>
        </w:rPr>
      </w:pPr>
    </w:p>
    <w:p>
      <w:pPr>
        <w:rPr>
          <w:color w:val="auto"/>
          <w:highlight w:val="none"/>
        </w:rPr>
      </w:pPr>
    </w:p>
    <w:p>
      <w:pPr>
        <w:jc w:val="center"/>
        <w:rPr>
          <w:rFonts w:eastAsia="黑体"/>
          <w:color w:val="auto"/>
          <w:sz w:val="20"/>
          <w:szCs w:val="20"/>
          <w:highlight w:val="none"/>
        </w:rPr>
      </w:pPr>
      <w:r>
        <w:rPr>
          <w:rFonts w:eastAsia="黑体"/>
          <w:color w:val="auto"/>
          <w:sz w:val="28"/>
          <w:szCs w:val="28"/>
          <w:highlight w:val="none"/>
        </w:rPr>
        <w:t>（项目名称）</w:t>
      </w:r>
    </w:p>
    <w:p>
      <w:pPr>
        <w:jc w:val="center"/>
        <w:rPr>
          <w:rFonts w:eastAsia="黑体"/>
          <w:color w:val="auto"/>
          <w:sz w:val="20"/>
          <w:szCs w:val="20"/>
          <w:highlight w:val="none"/>
        </w:rPr>
      </w:pPr>
    </w:p>
    <w:p>
      <w:pPr>
        <w:rPr>
          <w:rFonts w:eastAsia="黑体"/>
          <w:color w:val="auto"/>
          <w:sz w:val="20"/>
          <w:szCs w:val="20"/>
          <w:highlight w:val="none"/>
        </w:rPr>
      </w:pPr>
    </w:p>
    <w:p>
      <w:pPr>
        <w:jc w:val="center"/>
        <w:rPr>
          <w:rFonts w:hint="eastAsia" w:eastAsia="黑体"/>
          <w:color w:val="auto"/>
          <w:sz w:val="44"/>
          <w:szCs w:val="44"/>
          <w:highlight w:val="none"/>
          <w:lang w:eastAsia="zh-CN"/>
        </w:rPr>
      </w:pPr>
      <w:r>
        <w:rPr>
          <w:rFonts w:eastAsia="黑体"/>
          <w:color w:val="auto"/>
          <w:sz w:val="44"/>
          <w:szCs w:val="44"/>
          <w:highlight w:val="none"/>
        </w:rPr>
        <w:t>投  标  文  件</w:t>
      </w:r>
      <w:r>
        <w:rPr>
          <w:rFonts w:hint="eastAsia" w:eastAsia="黑体"/>
          <w:color w:val="auto"/>
          <w:sz w:val="44"/>
          <w:szCs w:val="44"/>
          <w:highlight w:val="none"/>
        </w:rPr>
        <w:t xml:space="preserve">  </w:t>
      </w:r>
      <w:r>
        <w:rPr>
          <w:rFonts w:hint="eastAsia" w:eastAsia="黑体"/>
          <w:color w:val="auto"/>
          <w:sz w:val="44"/>
          <w:szCs w:val="44"/>
          <w:highlight w:val="none"/>
          <w:lang w:val="en-US" w:eastAsia="zh-CN"/>
        </w:rPr>
        <w:t>二</w:t>
      </w:r>
    </w:p>
    <w:p>
      <w:pPr>
        <w:jc w:val="center"/>
        <w:rPr>
          <w:rFonts w:eastAsia="黑体"/>
          <w:color w:val="auto"/>
          <w:sz w:val="44"/>
          <w:szCs w:val="44"/>
          <w:highlight w:val="none"/>
        </w:rPr>
      </w:pPr>
      <w:r>
        <w:rPr>
          <w:rFonts w:hint="eastAsia" w:eastAsia="黑体"/>
          <w:color w:val="auto"/>
          <w:sz w:val="44"/>
          <w:szCs w:val="44"/>
          <w:highlight w:val="none"/>
        </w:rPr>
        <w:t>（商务标文件）</w:t>
      </w: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rPr>
          <w:rFonts w:eastAsia="黑体"/>
          <w:color w:val="auto"/>
          <w:sz w:val="28"/>
          <w:szCs w:val="28"/>
          <w:highlight w:val="none"/>
        </w:rPr>
      </w:pPr>
    </w:p>
    <w:p>
      <w:pPr>
        <w:jc w:val="center"/>
        <w:rPr>
          <w:rFonts w:eastAsia="黑体"/>
          <w:color w:val="auto"/>
          <w:sz w:val="28"/>
          <w:szCs w:val="28"/>
          <w:highlight w:val="none"/>
          <w:u w:val="single"/>
        </w:rPr>
      </w:pPr>
      <w:r>
        <w:rPr>
          <w:rFonts w:hint="eastAsia" w:eastAsia="黑体"/>
          <w:color w:val="auto"/>
          <w:sz w:val="28"/>
          <w:szCs w:val="28"/>
          <w:highlight w:val="none"/>
        </w:rPr>
        <w:t xml:space="preserve"> 投标人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盖</w:t>
      </w:r>
      <w:r>
        <w:rPr>
          <w:rFonts w:eastAsia="黑体"/>
          <w:color w:val="auto"/>
          <w:sz w:val="28"/>
          <w:szCs w:val="28"/>
          <w:highlight w:val="none"/>
        </w:rPr>
        <w:t>章）</w:t>
      </w:r>
    </w:p>
    <w:p>
      <w:pPr>
        <w:jc w:val="center"/>
        <w:rPr>
          <w:rFonts w:eastAsia="黑体"/>
          <w:color w:val="auto"/>
          <w:sz w:val="28"/>
          <w:szCs w:val="28"/>
          <w:highlight w:val="none"/>
        </w:rPr>
      </w:pPr>
      <w:r>
        <w:rPr>
          <w:rFonts w:hint="eastAsia" w:eastAsia="黑体"/>
          <w:color w:val="auto"/>
          <w:sz w:val="28"/>
          <w:szCs w:val="28"/>
          <w:highlight w:val="none"/>
        </w:rPr>
        <w:t xml:space="preserve">   </w:t>
      </w:r>
      <w:r>
        <w:rPr>
          <w:rFonts w:eastAsia="黑体"/>
          <w:color w:val="auto"/>
          <w:sz w:val="28"/>
          <w:szCs w:val="28"/>
          <w:highlight w:val="none"/>
        </w:rPr>
        <w:t>法定代表人</w:t>
      </w:r>
      <w:r>
        <w:rPr>
          <w:rFonts w:hint="eastAsia" w:eastAsia="黑体"/>
          <w:color w:val="auto"/>
          <w:sz w:val="28"/>
          <w:szCs w:val="28"/>
          <w:highlight w:val="none"/>
          <w:lang w:val="en-US" w:eastAsia="zh-CN"/>
        </w:rPr>
        <w:t>或授权委托人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签字或盖章</w:t>
      </w:r>
      <w:r>
        <w:rPr>
          <w:rFonts w:eastAsia="黑体"/>
          <w:color w:val="auto"/>
          <w:sz w:val="28"/>
          <w:szCs w:val="28"/>
          <w:highlight w:val="none"/>
        </w:rPr>
        <w:t>）</w:t>
      </w:r>
    </w:p>
    <w:p>
      <w:pPr>
        <w:jc w:val="center"/>
        <w:rPr>
          <w:rFonts w:eastAsia="黑体"/>
          <w:color w:val="auto"/>
          <w:sz w:val="28"/>
          <w:szCs w:val="28"/>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年</w:t>
      </w:r>
      <w:r>
        <w:rPr>
          <w:rFonts w:hint="eastAsia" w:eastAsia="黑体"/>
          <w:color w:val="auto"/>
          <w:sz w:val="28"/>
          <w:szCs w:val="28"/>
          <w:highlight w:val="none"/>
          <w:u w:val="single"/>
        </w:rPr>
        <w:t xml:space="preserve">     </w:t>
      </w:r>
      <w:r>
        <w:rPr>
          <w:rFonts w:eastAsia="黑体"/>
          <w:color w:val="auto"/>
          <w:sz w:val="28"/>
          <w:szCs w:val="28"/>
          <w:highlight w:val="none"/>
        </w:rPr>
        <w:t>月</w:t>
      </w:r>
      <w:r>
        <w:rPr>
          <w:rFonts w:hint="eastAsia" w:eastAsia="黑体"/>
          <w:color w:val="auto"/>
          <w:sz w:val="28"/>
          <w:szCs w:val="28"/>
          <w:highlight w:val="none"/>
          <w:u w:val="single"/>
        </w:rPr>
        <w:t xml:space="preserve">     </w:t>
      </w:r>
      <w:r>
        <w:rPr>
          <w:rFonts w:eastAsia="黑体"/>
          <w:color w:val="auto"/>
          <w:sz w:val="28"/>
          <w:szCs w:val="28"/>
          <w:highlight w:val="none"/>
        </w:rPr>
        <w:t>日</w:t>
      </w:r>
    </w:p>
    <w:p>
      <w:pPr>
        <w:rPr>
          <w:color w:val="auto"/>
          <w:highlight w:val="none"/>
        </w:rPr>
      </w:pPr>
    </w:p>
    <w:p>
      <w:pPr>
        <w:pStyle w:val="14"/>
        <w:ind w:firstLine="420"/>
        <w:rPr>
          <w:color w:val="auto"/>
          <w:highlight w:val="none"/>
        </w:rPr>
      </w:pPr>
    </w:p>
    <w:p>
      <w:pPr>
        <w:rPr>
          <w:color w:val="auto"/>
          <w:highlight w:val="none"/>
        </w:rPr>
      </w:pPr>
    </w:p>
    <w:p>
      <w:pPr>
        <w:spacing w:beforeLines="50" w:afterLines="50" w:line="440" w:lineRule="exact"/>
        <w:ind w:firstLine="643" w:firstLineChars="200"/>
        <w:jc w:val="left"/>
        <w:rPr>
          <w:rStyle w:val="121"/>
          <w:rFonts w:ascii="宋体" w:hAnsi="宋体" w:cs="宋体"/>
          <w:color w:val="auto"/>
          <w:sz w:val="32"/>
          <w:highlight w:val="none"/>
        </w:rPr>
      </w:pPr>
      <w:bookmarkStart w:id="1003" w:name="_Toc35425139"/>
      <w:bookmarkStart w:id="1004" w:name="_Toc35424973"/>
      <w:bookmarkStart w:id="1005" w:name="_Toc19174"/>
      <w:bookmarkStart w:id="1006" w:name="_Toc78803401"/>
      <w:r>
        <w:rPr>
          <w:rStyle w:val="121"/>
          <w:rFonts w:hint="eastAsia" w:ascii="宋体" w:hAnsi="宋体" w:cs="宋体"/>
          <w:color w:val="auto"/>
          <w:sz w:val="32"/>
          <w:highlight w:val="none"/>
        </w:rPr>
        <w:br w:type="page"/>
      </w:r>
      <w:r>
        <w:rPr>
          <w:rStyle w:val="121"/>
          <w:rFonts w:hint="eastAsia" w:ascii="宋体" w:hAnsi="宋体" w:cs="宋体"/>
          <w:color w:val="auto"/>
          <w:sz w:val="32"/>
          <w:highlight w:val="none"/>
        </w:rPr>
        <w:t>投标文件</w:t>
      </w:r>
      <w:bookmarkEnd w:id="1003"/>
      <w:bookmarkEnd w:id="1004"/>
      <w:bookmarkEnd w:id="1005"/>
      <w:r>
        <w:rPr>
          <w:rStyle w:val="121"/>
          <w:rFonts w:hint="eastAsia" w:ascii="宋体" w:hAnsi="宋体" w:cs="宋体"/>
          <w:color w:val="auto"/>
          <w:sz w:val="32"/>
          <w:highlight w:val="none"/>
          <w:lang w:val="en-US"/>
        </w:rPr>
        <w:t>二</w:t>
      </w:r>
      <w:r>
        <w:rPr>
          <w:rStyle w:val="121"/>
          <w:rFonts w:hint="eastAsia" w:ascii="宋体" w:hAnsi="宋体" w:cs="宋体"/>
          <w:color w:val="auto"/>
          <w:sz w:val="32"/>
          <w:highlight w:val="none"/>
        </w:rPr>
        <w:t>：商务标目录</w:t>
      </w:r>
      <w:bookmarkEnd w:id="1006"/>
    </w:p>
    <w:p>
      <w:pPr>
        <w:spacing w:line="440" w:lineRule="exact"/>
        <w:ind w:firstLine="420" w:firstLineChars="200"/>
        <w:jc w:val="left"/>
        <w:rPr>
          <w:rFonts w:hint="eastAsia" w:ascii="宋体" w:hAnsi="宋体" w:cs="宋体"/>
          <w:i/>
          <w:iCs/>
          <w:color w:val="auto"/>
          <w:szCs w:val="21"/>
          <w:highlight w:val="none"/>
        </w:rPr>
      </w:pPr>
      <w:r>
        <w:rPr>
          <w:rFonts w:hint="eastAsia" w:ascii="宋体" w:hAnsi="宋体" w:cs="宋体"/>
          <w:color w:val="auto"/>
          <w:szCs w:val="21"/>
          <w:highlight w:val="none"/>
        </w:rPr>
        <w:t>（1）投标函；</w:t>
      </w:r>
    </w:p>
    <w:p>
      <w:pPr>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）工程量清单报价书（2018版“工程量清单计价文件”格式）；</w:t>
      </w:r>
    </w:p>
    <w:p>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商务标</w:t>
      </w:r>
      <w:r>
        <w:rPr>
          <w:rFonts w:hint="eastAsia" w:ascii="宋体" w:hAnsi="宋体" w:cs="宋体"/>
          <w:color w:val="auto"/>
          <w:szCs w:val="21"/>
          <w:highlight w:val="none"/>
        </w:rPr>
        <w:t>投标人认为需要提供的其他材料。</w:t>
      </w:r>
    </w:p>
    <w:p>
      <w:pPr>
        <w:spacing w:line="540" w:lineRule="exact"/>
        <w:rPr>
          <w:rFonts w:eastAsia="黑体"/>
          <w:color w:val="auto"/>
          <w:sz w:val="20"/>
          <w:szCs w:val="20"/>
          <w:highlight w:val="none"/>
        </w:rPr>
      </w:pPr>
    </w:p>
    <w:p>
      <w:pPr>
        <w:spacing w:line="540" w:lineRule="exact"/>
        <w:rPr>
          <w:rFonts w:eastAsia="黑体"/>
          <w:color w:val="auto"/>
          <w:sz w:val="20"/>
          <w:szCs w:val="20"/>
          <w:highlight w:val="none"/>
        </w:rPr>
      </w:pPr>
    </w:p>
    <w:p>
      <w:pPr>
        <w:spacing w:line="540" w:lineRule="exact"/>
        <w:rPr>
          <w:rFonts w:eastAsia="黑体"/>
          <w:color w:val="auto"/>
          <w:sz w:val="20"/>
          <w:szCs w:val="20"/>
          <w:highlight w:val="non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spacing w:line="360" w:lineRule="auto"/>
        <w:ind w:firstLine="420" w:firstLineChars="200"/>
        <w:jc w:val="right"/>
        <w:rPr>
          <w:color w:val="auto"/>
          <w:szCs w:val="21"/>
          <w:highlight w:val="none"/>
          <w:u w:val="single"/>
        </w:rPr>
      </w:pPr>
    </w:p>
    <w:p>
      <w:pPr>
        <w:jc w:val="center"/>
        <w:rPr>
          <w:b/>
          <w:color w:val="auto"/>
          <w:sz w:val="32"/>
          <w:szCs w:val="32"/>
          <w:highlight w:val="none"/>
        </w:rPr>
      </w:pPr>
    </w:p>
    <w:p>
      <w:pPr>
        <w:jc w:val="center"/>
        <w:rPr>
          <w:b/>
          <w:color w:val="auto"/>
          <w:sz w:val="32"/>
          <w:szCs w:val="32"/>
          <w:highlight w:val="none"/>
        </w:rPr>
      </w:pPr>
    </w:p>
    <w:p>
      <w:pPr>
        <w:jc w:val="center"/>
        <w:rPr>
          <w:b/>
          <w:color w:val="auto"/>
          <w:sz w:val="32"/>
          <w:szCs w:val="32"/>
          <w:highlight w:val="none"/>
        </w:rPr>
      </w:pPr>
    </w:p>
    <w:p>
      <w:pPr>
        <w:jc w:val="center"/>
        <w:rPr>
          <w:b/>
          <w:color w:val="auto"/>
          <w:sz w:val="32"/>
          <w:szCs w:val="32"/>
          <w:highlight w:val="none"/>
        </w:rPr>
      </w:pPr>
    </w:p>
    <w:p>
      <w:pPr>
        <w:jc w:val="center"/>
        <w:rPr>
          <w:b/>
          <w:color w:val="auto"/>
          <w:sz w:val="32"/>
          <w:szCs w:val="32"/>
          <w:highlight w:val="none"/>
        </w:rPr>
      </w:pPr>
    </w:p>
    <w:p>
      <w:pPr>
        <w:jc w:val="center"/>
        <w:rPr>
          <w:b/>
          <w:color w:val="auto"/>
          <w:sz w:val="32"/>
          <w:szCs w:val="32"/>
          <w:highlight w:val="none"/>
        </w:rPr>
      </w:pPr>
    </w:p>
    <w:p>
      <w:pPr>
        <w:jc w:val="center"/>
        <w:rPr>
          <w:b/>
          <w:color w:val="auto"/>
          <w:sz w:val="32"/>
          <w:szCs w:val="32"/>
          <w:highlight w:val="none"/>
        </w:rPr>
      </w:pPr>
    </w:p>
    <w:p>
      <w:pPr>
        <w:spacing w:line="360" w:lineRule="auto"/>
        <w:rPr>
          <w:b/>
          <w:bCs/>
          <w:color w:val="auto"/>
          <w:sz w:val="32"/>
          <w:szCs w:val="32"/>
          <w:highlight w:val="none"/>
        </w:rPr>
      </w:pPr>
    </w:p>
    <w:p>
      <w:pPr>
        <w:jc w:val="center"/>
        <w:rPr>
          <w:rFonts w:ascii="宋体" w:hAnsi="宋体"/>
          <w:b/>
          <w:color w:val="auto"/>
          <w:sz w:val="32"/>
          <w:szCs w:val="32"/>
          <w:highlight w:val="none"/>
        </w:rPr>
      </w:pPr>
      <w:r>
        <w:rPr>
          <w:rFonts w:hint="eastAsia" w:ascii="宋体" w:hAnsi="宋体"/>
          <w:b/>
          <w:color w:val="auto"/>
          <w:sz w:val="32"/>
          <w:szCs w:val="32"/>
          <w:highlight w:val="none"/>
        </w:rPr>
        <w:br w:type="page"/>
      </w:r>
      <w:r>
        <w:rPr>
          <w:rFonts w:hint="eastAsia" w:ascii="宋体" w:hAnsi="宋体"/>
          <w:b/>
          <w:color w:val="auto"/>
          <w:sz w:val="32"/>
          <w:szCs w:val="32"/>
          <w:highlight w:val="none"/>
        </w:rPr>
        <w:t>（1）投 标 函</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auto"/>
          <w:highlight w:val="none"/>
        </w:rPr>
      </w:pPr>
      <w:bookmarkStart w:id="1007" w:name="_Toc506107366"/>
      <w:bookmarkStart w:id="1008" w:name="_Toc35424974"/>
      <w:bookmarkStart w:id="1009" w:name="_Toc35425140"/>
      <w:bookmarkStart w:id="1010" w:name="_Toc15058950"/>
      <w:r>
        <w:rPr>
          <w:rFonts w:hint="eastAsia" w:ascii="宋体" w:hAnsi="宋体" w:eastAsia="宋体" w:cs="宋体"/>
          <w:b/>
          <w:bCs/>
          <w:color w:val="auto"/>
          <w:highlight w:val="none"/>
        </w:rPr>
        <w:t>致 ：</w:t>
      </w:r>
      <w:r>
        <w:rPr>
          <w:rFonts w:hint="eastAsia" w:ascii="宋体" w:hAnsi="宋体" w:eastAsia="宋体" w:cs="宋体"/>
          <w:b/>
          <w:bCs/>
          <w:color w:val="auto"/>
          <w:highlight w:val="none"/>
          <w:u w:val="single"/>
          <w:lang w:val="en-US" w:eastAsia="zh-CN"/>
        </w:rPr>
        <w:t xml:space="preserve">       （招标人） </w:t>
      </w:r>
      <w:r>
        <w:rPr>
          <w:rFonts w:hint="eastAsia" w:ascii="宋体" w:hAnsi="宋体" w:eastAsia="宋体" w:cs="宋体"/>
          <w:color w:val="auto"/>
          <w:highlight w:val="none"/>
        </w:rPr>
        <w:t xml:space="preserve">：  </w:t>
      </w:r>
    </w:p>
    <w:p>
      <w:pPr>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1、根据你方招标项目编号为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的</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招标文件，遵照《中华人民共和国招标投标法》等有关规定，经踏勘项目现场和研究上述招标文件的投标须知、合同条件、技术规范、图纸、工程量清单和其他有关文件后，我方愿以为</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元</w:t>
      </w:r>
      <w:r>
        <w:rPr>
          <w:rFonts w:hint="eastAsia" w:ascii="宋体" w:hAnsi="宋体"/>
          <w:color w:val="auto"/>
          <w:szCs w:val="21"/>
          <w:highlight w:val="none"/>
        </w:rPr>
        <w:t>的投标报价承包上述项目，并承担任何质量缺陷保修责任。</w:t>
      </w:r>
    </w:p>
    <w:p>
      <w:pPr>
        <w:numPr>
          <w:ilvl w:val="0"/>
          <w:numId w:val="8"/>
        </w:numPr>
        <w:spacing w:line="440" w:lineRule="exact"/>
        <w:ind w:left="0" w:firstLine="404" w:firstLineChars="200"/>
        <w:jc w:val="left"/>
        <w:rPr>
          <w:rFonts w:ascii="宋体" w:hAnsi="宋体"/>
          <w:color w:val="auto"/>
          <w:spacing w:val="-4"/>
          <w:szCs w:val="21"/>
          <w:highlight w:val="none"/>
        </w:rPr>
      </w:pPr>
      <w:r>
        <w:rPr>
          <w:rFonts w:hint="eastAsia" w:ascii="宋体" w:hAnsi="宋体"/>
          <w:color w:val="auto"/>
          <w:spacing w:val="-4"/>
          <w:szCs w:val="21"/>
          <w:highlight w:val="none"/>
        </w:rPr>
        <w:t>我方已详细审核全部招标文件及有关附件，承诺招标文件及有关附件中所有条款。</w:t>
      </w:r>
    </w:p>
    <w:p>
      <w:pPr>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3、一旦我方中标，我方将派出</w:t>
      </w:r>
      <w:r>
        <w:rPr>
          <w:rFonts w:hint="eastAsia" w:ascii="宋体" w:hAnsi="宋体"/>
          <w:color w:val="auto"/>
          <w:szCs w:val="21"/>
          <w:highlight w:val="none"/>
          <w:u w:val="single"/>
        </w:rPr>
        <w:t xml:space="preserve">      </w:t>
      </w:r>
      <w:r>
        <w:rPr>
          <w:rFonts w:hint="eastAsia" w:ascii="宋体" w:hAnsi="宋体"/>
          <w:color w:val="auto"/>
          <w:szCs w:val="21"/>
          <w:highlight w:val="none"/>
        </w:rPr>
        <w:t>为本项目的项目</w:t>
      </w:r>
      <w:r>
        <w:rPr>
          <w:rFonts w:hint="eastAsia" w:ascii="宋体" w:hAnsi="宋体"/>
          <w:color w:val="auto"/>
          <w:szCs w:val="21"/>
          <w:highlight w:val="none"/>
          <w:lang w:val="en-US" w:eastAsia="zh-CN"/>
        </w:rPr>
        <w:t>经理</w:t>
      </w:r>
      <w:r>
        <w:rPr>
          <w:rFonts w:hint="eastAsia" w:ascii="宋体" w:hAnsi="宋体"/>
          <w:color w:val="auto"/>
          <w:szCs w:val="21"/>
          <w:highlight w:val="none"/>
        </w:rPr>
        <w:t>，保证按照招标人要求开始实施本项目，按招标文件要求的时间内完成本合同的施工，并移交整个项目，项目质量达到</w:t>
      </w:r>
      <w:r>
        <w:rPr>
          <w:rFonts w:ascii="宋体" w:hAnsi="宋体"/>
          <w:color w:val="auto"/>
          <w:szCs w:val="21"/>
          <w:highlight w:val="none"/>
          <w:u w:val="single"/>
        </w:rPr>
        <w:t xml:space="preserve">   </w:t>
      </w:r>
      <w:r>
        <w:rPr>
          <w:rFonts w:hint="eastAsia" w:ascii="宋体" w:hAnsi="宋体"/>
          <w:color w:val="auto"/>
          <w:szCs w:val="21"/>
          <w:highlight w:val="none"/>
          <w:u w:val="single"/>
        </w:rPr>
        <w:t>合格</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标准。</w:t>
      </w:r>
    </w:p>
    <w:p>
      <w:pPr>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4、如果我方在本投标书有效期内撤回投标书，或在中标通知书下达后</w:t>
      </w:r>
      <w:r>
        <w:rPr>
          <w:rFonts w:ascii="宋体" w:hAnsi="宋体"/>
          <w:color w:val="auto"/>
          <w:szCs w:val="21"/>
          <w:highlight w:val="none"/>
          <w:u w:val="single"/>
        </w:rPr>
        <w:t xml:space="preserve">  </w:t>
      </w:r>
      <w:r>
        <w:rPr>
          <w:rFonts w:hint="eastAsia" w:ascii="宋体" w:hAnsi="宋体"/>
          <w:color w:val="auto"/>
          <w:szCs w:val="21"/>
          <w:highlight w:val="none"/>
          <w:u w:val="single"/>
        </w:rPr>
        <w:t>30</w:t>
      </w:r>
      <w:r>
        <w:rPr>
          <w:rFonts w:ascii="宋体" w:hAnsi="宋体"/>
          <w:color w:val="auto"/>
          <w:szCs w:val="21"/>
          <w:highlight w:val="none"/>
          <w:u w:val="single"/>
        </w:rPr>
        <w:t xml:space="preserve"> </w:t>
      </w:r>
      <w:r>
        <w:rPr>
          <w:rFonts w:hint="eastAsia" w:ascii="宋体" w:hAnsi="宋体"/>
          <w:color w:val="auto"/>
          <w:szCs w:val="21"/>
          <w:highlight w:val="none"/>
        </w:rPr>
        <w:t>天内未能或拒绝签订合同书，或自行转标，贵单位有权</w:t>
      </w:r>
      <w:r>
        <w:rPr>
          <w:rFonts w:hint="eastAsia" w:ascii="宋体" w:hAnsi="宋体"/>
          <w:color w:val="auto"/>
          <w:szCs w:val="21"/>
          <w:highlight w:val="none"/>
          <w:lang w:val="en-US" w:eastAsia="zh-CN"/>
        </w:rPr>
        <w:t>对我公司进行处罚</w:t>
      </w:r>
      <w:r>
        <w:rPr>
          <w:rFonts w:hint="eastAsia" w:ascii="宋体" w:hAnsi="宋体"/>
          <w:color w:val="auto"/>
          <w:szCs w:val="21"/>
          <w:highlight w:val="none"/>
        </w:rPr>
        <w:t>，并另选中标单位。</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5、如果我方中标我方将按照招标文件的规定提交</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none"/>
          <w:lang w:val="en-US" w:eastAsia="zh-CN"/>
        </w:rPr>
        <w:t>万</w:t>
      </w:r>
      <w:r>
        <w:rPr>
          <w:rFonts w:hint="eastAsia" w:ascii="宋体" w:hAnsi="宋体"/>
          <w:color w:val="auto"/>
          <w:szCs w:val="21"/>
          <w:highlight w:val="none"/>
        </w:rPr>
        <w:t>元作为履约担保。项目验收合格后，方可退还。</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6、投标有效期为</w:t>
      </w:r>
      <w:r>
        <w:rPr>
          <w:rFonts w:hint="eastAsia" w:ascii="宋体" w:hAnsi="宋体"/>
          <w:color w:val="auto"/>
          <w:szCs w:val="21"/>
          <w:highlight w:val="none"/>
          <w:u w:val="single"/>
        </w:rPr>
        <w:t xml:space="preserve"> 90</w:t>
      </w:r>
      <w:r>
        <w:rPr>
          <w:rFonts w:hint="eastAsia" w:ascii="宋体" w:hAnsi="宋体"/>
          <w:color w:val="auto"/>
          <w:szCs w:val="21"/>
          <w:highlight w:val="none"/>
        </w:rPr>
        <w:t>日历天（从投标截止之日算起）。</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7、我单位提供如下通讯地址：</w:t>
      </w:r>
      <w:r>
        <w:rPr>
          <w:rFonts w:hint="eastAsia" w:ascii="宋体" w:hAnsi="宋体"/>
          <w:color w:val="auto"/>
          <w:szCs w:val="21"/>
          <w:highlight w:val="none"/>
          <w:u w:val="single"/>
        </w:rPr>
        <w:t xml:space="preserve">                </w:t>
      </w:r>
      <w:r>
        <w:rPr>
          <w:rFonts w:hint="eastAsia" w:ascii="宋体" w:hAnsi="宋体"/>
          <w:color w:val="auto"/>
          <w:szCs w:val="21"/>
          <w:highlight w:val="none"/>
        </w:rPr>
        <w:t>电子邮箱（地址），确认本项目相关法律文书均通过提供的以上地址送达，相关文书只要发送至以上电子邮箱（地址）即视为送达，投标人愿意承担一切法律后果。</w:t>
      </w:r>
    </w:p>
    <w:p>
      <w:pPr>
        <w:spacing w:line="600" w:lineRule="exact"/>
        <w:ind w:firstLine="420" w:firstLineChars="200"/>
        <w:jc w:val="left"/>
        <w:rPr>
          <w:rFonts w:hint="eastAsia" w:ascii="宋体" w:hAnsi="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盖</w:t>
      </w:r>
      <w:r>
        <w:rPr>
          <w:rFonts w:hint="eastAsia" w:ascii="宋体" w:hAnsi="宋体" w:eastAsia="宋体" w:cs="宋体"/>
          <w:color w:val="auto"/>
          <w:szCs w:val="21"/>
          <w:highlight w:val="none"/>
          <w:u w:val="single"/>
        </w:rPr>
        <w:t xml:space="preserve">章）   </w:t>
      </w: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（签</w:t>
      </w:r>
      <w:r>
        <w:rPr>
          <w:rFonts w:hint="eastAsia" w:ascii="宋体" w:hAnsi="宋体" w:cs="宋体"/>
          <w:color w:val="auto"/>
          <w:szCs w:val="21"/>
          <w:highlight w:val="none"/>
          <w:u w:val="single"/>
          <w:lang w:val="en-US" w:eastAsia="zh-CN"/>
        </w:rPr>
        <w:t>字或盖</w:t>
      </w:r>
      <w:r>
        <w:rPr>
          <w:rFonts w:hint="eastAsia" w:ascii="宋体" w:hAnsi="宋体" w:eastAsia="宋体" w:cs="宋体"/>
          <w:color w:val="auto"/>
          <w:szCs w:val="21"/>
          <w:highlight w:val="none"/>
          <w:u w:val="single"/>
        </w:rPr>
        <w:t>章）</w:t>
      </w: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2310" w:firstLineChars="1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年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月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pStyle w:val="43"/>
        <w:spacing w:beforeLines="50" w:afterLines="50" w:line="440" w:lineRule="exact"/>
        <w:rPr>
          <w:rFonts w:hint="eastAsia" w:ascii="仿宋_GB2312" w:hAnsi="宋体" w:eastAsia="仿宋_GB2312"/>
          <w:b/>
          <w:color w:val="auto"/>
          <w:sz w:val="32"/>
          <w:szCs w:val="32"/>
          <w:highlight w:val="none"/>
        </w:rPr>
      </w:pPr>
      <w:r>
        <w:rPr>
          <w:rFonts w:hint="eastAsia"/>
          <w:color w:val="auto"/>
          <w:sz w:val="32"/>
          <w:szCs w:val="32"/>
          <w:highlight w:val="none"/>
        </w:rPr>
        <w:br w:type="page"/>
      </w:r>
      <w:bookmarkEnd w:id="7"/>
      <w:bookmarkEnd w:id="8"/>
      <w:bookmarkEnd w:id="9"/>
      <w:bookmarkEnd w:id="10"/>
      <w:bookmarkEnd w:id="11"/>
      <w:bookmarkEnd w:id="1007"/>
      <w:bookmarkEnd w:id="1008"/>
      <w:bookmarkEnd w:id="1009"/>
      <w:bookmarkEnd w:id="1010"/>
      <w:bookmarkStart w:id="1011" w:name="_Toc78803402"/>
    </w:p>
    <w:p>
      <w:pPr>
        <w:pStyle w:val="43"/>
        <w:spacing w:beforeLines="50" w:afterLines="50" w:line="440" w:lineRule="exact"/>
        <w:rPr>
          <w:bCs/>
          <w:szCs w:val="32"/>
          <w:highlight w:val="none"/>
        </w:rPr>
      </w:pPr>
      <w:r>
        <w:rPr>
          <w:rFonts w:hint="eastAsia"/>
          <w:bCs/>
          <w:szCs w:val="32"/>
          <w:highlight w:val="none"/>
        </w:rPr>
        <w:t>第</w:t>
      </w:r>
      <w:r>
        <w:rPr>
          <w:rFonts w:hint="eastAsia"/>
          <w:bCs/>
          <w:szCs w:val="32"/>
          <w:highlight w:val="none"/>
          <w:lang w:val="en-US" w:eastAsia="zh-CN"/>
        </w:rPr>
        <w:t>八</w:t>
      </w:r>
      <w:r>
        <w:rPr>
          <w:rFonts w:hint="eastAsia"/>
          <w:bCs/>
          <w:szCs w:val="32"/>
          <w:highlight w:val="none"/>
        </w:rPr>
        <w:t>章  招标单位、招标代理机构对本招标文件的确认</w:t>
      </w:r>
      <w:bookmarkEnd w:id="1011"/>
    </w:p>
    <w:p>
      <w:pPr>
        <w:pStyle w:val="20"/>
        <w:rPr>
          <w:highlight w:val="none"/>
        </w:rPr>
      </w:pPr>
    </w:p>
    <w:tbl>
      <w:tblPr>
        <w:tblStyle w:val="46"/>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9" w:hRule="atLeast"/>
          <w:jc w:val="center"/>
        </w:trPr>
        <w:tc>
          <w:tcPr>
            <w:tcW w:w="9580" w:type="dxa"/>
            <w:noWrap/>
          </w:tcPr>
          <w:p>
            <w:pPr>
              <w:wordWrap w:val="0"/>
              <w:adjustRightInd w:val="0"/>
              <w:snapToGrid w:val="0"/>
              <w:spacing w:line="560" w:lineRule="exact"/>
              <w:rPr>
                <w:sz w:val="30"/>
                <w:highlight w:val="none"/>
              </w:rPr>
            </w:pPr>
          </w:p>
          <w:p>
            <w:pPr>
              <w:wordWrap w:val="0"/>
              <w:spacing w:line="560" w:lineRule="exact"/>
              <w:ind w:firstLine="560" w:firstLineChars="200"/>
              <w:rPr>
                <w:sz w:val="28"/>
                <w:szCs w:val="28"/>
                <w:highlight w:val="none"/>
              </w:rPr>
            </w:pPr>
            <w:r>
              <w:rPr>
                <w:rFonts w:hint="eastAsia"/>
                <w:sz w:val="28"/>
                <w:szCs w:val="28"/>
                <w:highlight w:val="none"/>
              </w:rPr>
              <w:t>我单位对</w:t>
            </w:r>
            <w:r>
              <w:rPr>
                <w:rFonts w:hint="eastAsia"/>
                <w:sz w:val="28"/>
                <w:szCs w:val="28"/>
                <w:highlight w:val="none"/>
                <w:u w:val="single"/>
              </w:rPr>
              <w:t xml:space="preserve"> 兴天矿业柴油发电机房土建工程施工 </w:t>
            </w:r>
            <w:r>
              <w:rPr>
                <w:rFonts w:hint="eastAsia"/>
                <w:sz w:val="28"/>
                <w:szCs w:val="28"/>
                <w:highlight w:val="none"/>
              </w:rPr>
              <w:t>的招标文件进行确认。</w:t>
            </w:r>
          </w:p>
          <w:p>
            <w:pPr>
              <w:widowControl/>
              <w:spacing w:line="360" w:lineRule="auto"/>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lang w:val="en-US" w:eastAsia="zh-CN"/>
              </w:rPr>
              <w:t>招标人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滁州市兴天矿业有限公司</w:t>
            </w:r>
            <w:r>
              <w:rPr>
                <w:rFonts w:hint="eastAsia" w:ascii="宋体" w:hAnsi="宋体"/>
                <w:color w:val="auto"/>
                <w:sz w:val="28"/>
                <w:szCs w:val="28"/>
                <w:highlight w:val="none"/>
              </w:rPr>
              <w:t xml:space="preserve">  </w:t>
            </w:r>
          </w:p>
          <w:p>
            <w:pPr>
              <w:adjustRightInd w:val="0"/>
              <w:snapToGrid w:val="0"/>
              <w:spacing w:line="560" w:lineRule="exact"/>
              <w:ind w:firstLine="560" w:firstLineChars="200"/>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联 系 人：</w:t>
            </w:r>
            <w:r>
              <w:rPr>
                <w:rFonts w:hint="eastAsia" w:ascii="宋体" w:hAnsi="宋体" w:cs="Times New Roman"/>
                <w:color w:val="auto"/>
                <w:sz w:val="28"/>
                <w:szCs w:val="28"/>
                <w:highlight w:val="none"/>
                <w:lang w:val="en-US" w:eastAsia="zh-CN"/>
              </w:rPr>
              <w:t>李超</w:t>
            </w:r>
            <w:r>
              <w:rPr>
                <w:rFonts w:hint="eastAsia" w:ascii="宋体" w:hAnsi="宋体" w:eastAsia="宋体" w:cs="Times New Roman"/>
                <w:color w:val="auto"/>
                <w:sz w:val="28"/>
                <w:szCs w:val="28"/>
                <w:highlight w:val="none"/>
              </w:rPr>
              <w:t xml:space="preserve"> </w:t>
            </w:r>
            <w:r>
              <w:rPr>
                <w:rFonts w:hint="eastAsia" w:ascii="宋体" w:hAnsi="宋体" w:eastAsia="宋体" w:cs="Times New Roman"/>
                <w:color w:val="auto"/>
                <w:sz w:val="28"/>
                <w:szCs w:val="28"/>
                <w:highlight w:val="none"/>
                <w:lang w:val="en-US" w:eastAsia="zh-CN"/>
              </w:rPr>
              <w:t xml:space="preserve"> </w:t>
            </w:r>
          </w:p>
          <w:p>
            <w:pPr>
              <w:adjustRightInd w:val="0"/>
              <w:snapToGrid w:val="0"/>
              <w:spacing w:line="560" w:lineRule="exact"/>
              <w:ind w:firstLine="560" w:firstLineChars="200"/>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rPr>
              <w:t>联系电话：</w:t>
            </w:r>
            <w:r>
              <w:rPr>
                <w:rFonts w:hint="eastAsia" w:ascii="宋体" w:hAnsi="宋体" w:cs="Times New Roman"/>
                <w:color w:val="auto"/>
                <w:sz w:val="28"/>
                <w:szCs w:val="28"/>
                <w:highlight w:val="none"/>
                <w:lang w:val="en-US" w:eastAsia="zh-CN"/>
              </w:rPr>
              <w:t>15056501345</w:t>
            </w:r>
          </w:p>
          <w:p>
            <w:pPr>
              <w:wordWrap w:val="0"/>
              <w:spacing w:line="560" w:lineRule="exact"/>
              <w:ind w:firstLine="560" w:firstLineChars="200"/>
              <w:rPr>
                <w:rFonts w:ascii="宋体" w:hAnsi="宋体"/>
                <w:sz w:val="28"/>
                <w:szCs w:val="28"/>
                <w:highlight w:val="none"/>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p>
          <w:p>
            <w:pPr>
              <w:wordWrap w:val="0"/>
              <w:spacing w:line="560" w:lineRule="exact"/>
              <w:ind w:firstLine="560" w:firstLineChars="200"/>
              <w:rPr>
                <w:rFonts w:ascii="宋体" w:hAnsi="宋体"/>
                <w:sz w:val="28"/>
                <w:szCs w:val="28"/>
                <w:highlight w:val="none"/>
              </w:rPr>
            </w:pPr>
          </w:p>
          <w:p>
            <w:pPr>
              <w:wordWrap w:val="0"/>
              <w:spacing w:line="560" w:lineRule="exact"/>
              <w:ind w:firstLine="560" w:firstLineChars="200"/>
              <w:rPr>
                <w:rFonts w:ascii="宋体" w:hAnsi="宋体"/>
                <w:sz w:val="28"/>
                <w:szCs w:val="28"/>
                <w:highlight w:val="none"/>
              </w:rPr>
            </w:pPr>
          </w:p>
          <w:p>
            <w:pPr>
              <w:wordWrap w:val="0"/>
              <w:spacing w:line="560" w:lineRule="exact"/>
              <w:ind w:firstLine="5740" w:firstLineChars="2050"/>
              <w:rPr>
                <w:rFonts w:ascii="宋体" w:hAnsi="宋体"/>
                <w:sz w:val="28"/>
                <w:szCs w:val="28"/>
                <w:highlight w:val="none"/>
              </w:rPr>
            </w:pPr>
            <w:r>
              <w:rPr>
                <w:rFonts w:hint="eastAsia" w:ascii="宋体" w:hAnsi="宋体"/>
                <w:sz w:val="28"/>
                <w:szCs w:val="28"/>
                <w:highlight w:val="none"/>
              </w:rPr>
              <w:t>（单位盖章）</w:t>
            </w:r>
          </w:p>
          <w:p>
            <w:pPr>
              <w:spacing w:line="560" w:lineRule="exact"/>
              <w:ind w:firstLine="5880" w:firstLineChars="2100"/>
              <w:rPr>
                <w:rFonts w:ascii="宋体" w:hAnsi="宋体"/>
                <w:sz w:val="28"/>
                <w:szCs w:val="28"/>
                <w:highlight w:val="none"/>
              </w:rPr>
            </w:pPr>
            <w:r>
              <w:rPr>
                <w:rFonts w:hint="eastAsia" w:ascii="宋体" w:hAnsi="宋体"/>
                <w:sz w:val="28"/>
                <w:szCs w:val="28"/>
                <w:highlight w:val="none"/>
              </w:rPr>
              <w:t>202</w:t>
            </w:r>
            <w:r>
              <w:rPr>
                <w:rFonts w:hint="eastAsia" w:ascii="宋体" w:hAnsi="宋体"/>
                <w:sz w:val="28"/>
                <w:szCs w:val="28"/>
                <w:highlight w:val="none"/>
                <w:lang w:val="en-US" w:eastAsia="zh-CN"/>
              </w:rPr>
              <w:t>4</w:t>
            </w:r>
            <w:r>
              <w:rPr>
                <w:rFonts w:hint="eastAsia" w:ascii="宋体" w:hAnsi="宋体"/>
                <w:sz w:val="28"/>
                <w:szCs w:val="28"/>
                <w:highlight w:val="none"/>
              </w:rPr>
              <w:t>年</w:t>
            </w:r>
            <w:r>
              <w:rPr>
                <w:rFonts w:hint="eastAsia" w:ascii="宋体" w:hAnsi="宋体"/>
                <w:sz w:val="28"/>
                <w:szCs w:val="28"/>
                <w:highlight w:val="none"/>
                <w:lang w:val="en-US" w:eastAsia="zh-CN"/>
              </w:rPr>
              <w:t>04</w:t>
            </w:r>
            <w:r>
              <w:rPr>
                <w:rFonts w:hint="eastAsia" w:ascii="宋体" w:hAnsi="宋体"/>
                <w:sz w:val="28"/>
                <w:szCs w:val="28"/>
                <w:highlight w:val="none"/>
              </w:rPr>
              <w:t>月</w:t>
            </w:r>
          </w:p>
          <w:p>
            <w:pPr>
              <w:pStyle w:val="14"/>
              <w:ind w:firstLine="420"/>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6" w:hRule="atLeast"/>
          <w:jc w:val="center"/>
        </w:trPr>
        <w:tc>
          <w:tcPr>
            <w:tcW w:w="9580" w:type="dxa"/>
            <w:noWrap/>
          </w:tcPr>
          <w:p>
            <w:pPr>
              <w:spacing w:line="560" w:lineRule="exact"/>
              <w:ind w:firstLine="560" w:firstLineChars="200"/>
              <w:rPr>
                <w:rFonts w:ascii="宋体" w:hAnsi="宋体" w:cs="宋体"/>
                <w:sz w:val="28"/>
                <w:szCs w:val="28"/>
                <w:highlight w:val="none"/>
              </w:rPr>
            </w:pPr>
          </w:p>
          <w:p>
            <w:pPr>
              <w:spacing w:line="560" w:lineRule="exact"/>
              <w:ind w:firstLine="560" w:firstLineChars="200"/>
              <w:rPr>
                <w:rFonts w:ascii="宋体" w:hAnsi="宋体" w:cs="宋体"/>
                <w:sz w:val="28"/>
                <w:szCs w:val="28"/>
                <w:highlight w:val="none"/>
                <w:u w:val="single"/>
              </w:rPr>
            </w:pPr>
            <w:r>
              <w:rPr>
                <w:rFonts w:hint="eastAsia" w:ascii="宋体" w:hAnsi="宋体" w:cs="宋体"/>
                <w:sz w:val="28"/>
                <w:szCs w:val="28"/>
                <w:highlight w:val="none"/>
              </w:rPr>
              <w:t>招标代理机构：</w:t>
            </w:r>
            <w:r>
              <w:rPr>
                <w:rFonts w:hint="eastAsia"/>
                <w:sz w:val="28"/>
                <w:szCs w:val="28"/>
                <w:highlight w:val="none"/>
              </w:rPr>
              <w:t>滁州市城投工程咨询管理有限公司</w:t>
            </w:r>
          </w:p>
          <w:p>
            <w:pPr>
              <w:spacing w:line="560" w:lineRule="exact"/>
              <w:ind w:firstLine="560" w:firstLineChars="200"/>
              <w:rPr>
                <w:rFonts w:hint="default" w:ascii="宋体" w:hAnsi="宋体" w:eastAsia="宋体" w:cs="宋体"/>
                <w:sz w:val="28"/>
                <w:szCs w:val="28"/>
                <w:highlight w:val="none"/>
                <w:u w:val="single"/>
                <w:lang w:val="en-US" w:eastAsia="zh-CN"/>
              </w:rPr>
            </w:pPr>
            <w:r>
              <w:rPr>
                <w:rFonts w:hint="eastAsia" w:ascii="宋体" w:hAnsi="宋体" w:cs="宋体"/>
                <w:sz w:val="28"/>
                <w:szCs w:val="28"/>
                <w:highlight w:val="none"/>
              </w:rPr>
              <w:t>联 系 人：</w:t>
            </w:r>
            <w:r>
              <w:rPr>
                <w:rFonts w:hint="eastAsia" w:ascii="宋体" w:hAnsi="宋体" w:cs="宋体"/>
                <w:sz w:val="28"/>
                <w:szCs w:val="28"/>
                <w:highlight w:val="none"/>
                <w:lang w:val="en-US" w:eastAsia="zh-CN"/>
              </w:rPr>
              <w:t>田甜</w:t>
            </w:r>
          </w:p>
          <w:p>
            <w:pPr>
              <w:spacing w:line="560" w:lineRule="exact"/>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rPr>
              <w:t>联系电话：0550-351951</w:t>
            </w:r>
            <w:r>
              <w:rPr>
                <w:rFonts w:hint="eastAsia" w:ascii="宋体" w:hAnsi="宋体" w:cs="宋体"/>
                <w:sz w:val="28"/>
                <w:szCs w:val="28"/>
                <w:highlight w:val="none"/>
                <w:lang w:val="en-US" w:eastAsia="zh-CN"/>
              </w:rPr>
              <w:t>9</w:t>
            </w:r>
            <w:r>
              <w:rPr>
                <w:rFonts w:hint="eastAsia" w:ascii="宋体" w:hAnsi="宋体" w:cs="宋体"/>
                <w:sz w:val="28"/>
                <w:szCs w:val="28"/>
                <w:highlight w:val="none"/>
              </w:rPr>
              <w:t>、</w:t>
            </w:r>
            <w:r>
              <w:rPr>
                <w:rFonts w:hint="eastAsia" w:ascii="宋体" w:hAnsi="宋体" w:cs="宋体"/>
                <w:sz w:val="28"/>
                <w:szCs w:val="28"/>
                <w:highlight w:val="none"/>
                <w:lang w:eastAsia="zh-CN"/>
              </w:rPr>
              <w:t>1</w:t>
            </w:r>
            <w:r>
              <w:rPr>
                <w:rFonts w:hint="eastAsia" w:ascii="宋体" w:hAnsi="宋体" w:cs="宋体"/>
                <w:sz w:val="28"/>
                <w:szCs w:val="28"/>
                <w:highlight w:val="none"/>
                <w:lang w:val="en-US" w:eastAsia="zh-CN"/>
              </w:rPr>
              <w:t>5955005370</w:t>
            </w:r>
          </w:p>
          <w:p>
            <w:pPr>
              <w:spacing w:line="560" w:lineRule="exact"/>
              <w:ind w:firstLine="5040" w:firstLineChars="1800"/>
              <w:rPr>
                <w:rFonts w:ascii="宋体" w:hAnsi="宋体" w:cs="宋体"/>
                <w:sz w:val="28"/>
                <w:szCs w:val="28"/>
                <w:highlight w:val="none"/>
              </w:rPr>
            </w:pPr>
          </w:p>
          <w:p>
            <w:pPr>
              <w:spacing w:line="560" w:lineRule="exact"/>
              <w:ind w:firstLine="5460" w:firstLineChars="1950"/>
              <w:rPr>
                <w:rFonts w:ascii="宋体" w:hAnsi="宋体" w:cs="宋体"/>
                <w:sz w:val="28"/>
                <w:szCs w:val="28"/>
                <w:highlight w:val="none"/>
              </w:rPr>
            </w:pPr>
          </w:p>
          <w:p>
            <w:pPr>
              <w:spacing w:line="560" w:lineRule="exact"/>
              <w:ind w:firstLine="5880" w:firstLineChars="2100"/>
              <w:rPr>
                <w:rFonts w:ascii="宋体" w:hAnsi="宋体" w:cs="宋体"/>
                <w:sz w:val="28"/>
                <w:szCs w:val="28"/>
                <w:highlight w:val="none"/>
              </w:rPr>
            </w:pPr>
            <w:r>
              <w:rPr>
                <w:rFonts w:hint="eastAsia" w:ascii="宋体" w:hAnsi="宋体" w:cs="宋体"/>
                <w:sz w:val="28"/>
                <w:szCs w:val="28"/>
                <w:highlight w:val="none"/>
              </w:rPr>
              <w:t>（单位盖章）</w:t>
            </w:r>
          </w:p>
          <w:p>
            <w:pPr>
              <w:spacing w:line="560" w:lineRule="exact"/>
              <w:ind w:firstLine="6020" w:firstLineChars="2150"/>
              <w:rPr>
                <w:rFonts w:ascii="宋体" w:hAnsi="宋体"/>
                <w:sz w:val="28"/>
                <w:szCs w:val="28"/>
                <w:highlight w:val="none"/>
              </w:rPr>
            </w:pPr>
            <w:r>
              <w:rPr>
                <w:rFonts w:hint="eastAsia" w:ascii="宋体" w:hAnsi="宋体"/>
                <w:sz w:val="28"/>
                <w:szCs w:val="28"/>
                <w:highlight w:val="none"/>
              </w:rPr>
              <w:t>202</w:t>
            </w:r>
            <w:r>
              <w:rPr>
                <w:rFonts w:hint="eastAsia" w:ascii="宋体" w:hAnsi="宋体"/>
                <w:sz w:val="28"/>
                <w:szCs w:val="28"/>
                <w:highlight w:val="none"/>
                <w:lang w:val="en-US" w:eastAsia="zh-CN"/>
              </w:rPr>
              <w:t>4</w:t>
            </w:r>
            <w:r>
              <w:rPr>
                <w:rFonts w:hint="eastAsia" w:ascii="宋体" w:hAnsi="宋体"/>
                <w:sz w:val="28"/>
                <w:szCs w:val="28"/>
                <w:highlight w:val="none"/>
              </w:rPr>
              <w:t>年</w:t>
            </w:r>
            <w:r>
              <w:rPr>
                <w:rFonts w:hint="eastAsia" w:ascii="宋体" w:hAnsi="宋体"/>
                <w:sz w:val="28"/>
                <w:szCs w:val="28"/>
                <w:highlight w:val="none"/>
                <w:lang w:val="en-US" w:eastAsia="zh-CN"/>
              </w:rPr>
              <w:t>04</w:t>
            </w:r>
            <w:r>
              <w:rPr>
                <w:rFonts w:hint="eastAsia" w:ascii="宋体" w:hAnsi="宋体"/>
                <w:sz w:val="28"/>
                <w:szCs w:val="28"/>
                <w:highlight w:val="none"/>
              </w:rPr>
              <w:t>月</w:t>
            </w:r>
          </w:p>
          <w:p>
            <w:pPr>
              <w:pStyle w:val="14"/>
              <w:ind w:firstLine="420"/>
              <w:rPr>
                <w:highlight w:val="none"/>
              </w:rPr>
            </w:pPr>
          </w:p>
        </w:tc>
      </w:tr>
    </w:tbl>
    <w:p/>
    <w:sectPr>
      <w:headerReference r:id="rId7" w:type="default"/>
      <w:footerReference r:id="rId8" w:type="default"/>
      <w:pgSz w:w="11906" w:h="16838"/>
      <w:pgMar w:top="1134" w:right="1417" w:bottom="1134"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Style w:val="50"/>
      </w:rPr>
    </w:pPr>
  </w:p>
  <w:p>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Style w:val="50"/>
      </w:rPr>
    </w:pPr>
  </w:p>
  <w:p>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Style w:val="50"/>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1</w:t>
                    </w:r>
                    <w:r>
                      <w:fldChar w:fldCharType="end"/>
                    </w:r>
                  </w:p>
                </w:txbxContent>
              </v:textbox>
            </v:shape>
          </w:pict>
        </mc:Fallback>
      </mc:AlternateContent>
    </w:r>
  </w:p>
  <w:p>
    <w:pPr>
      <w:pStyle w:val="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Style w:val="50"/>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1</w:t>
                    </w:r>
                    <w:r>
                      <w:fldChar w:fldCharType="end"/>
                    </w:r>
                  </w:p>
                </w:txbxContent>
              </v:textbox>
            </v:shape>
          </w:pict>
        </mc:Fallback>
      </mc:AlternateContent>
    </w:r>
  </w:p>
  <w:p>
    <w:pPr>
      <w:pStyle w:val="3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0B1C5"/>
    <w:multiLevelType w:val="singleLevel"/>
    <w:tmpl w:val="84E0B1C5"/>
    <w:lvl w:ilvl="0" w:tentative="0">
      <w:start w:val="1"/>
      <w:numFmt w:val="decimal"/>
      <w:suff w:val="space"/>
      <w:lvlText w:val="（%1）"/>
      <w:lvlJc w:val="left"/>
    </w:lvl>
  </w:abstractNum>
  <w:abstractNum w:abstractNumId="1">
    <w:nsid w:val="BFD0D545"/>
    <w:multiLevelType w:val="singleLevel"/>
    <w:tmpl w:val="BFD0D545"/>
    <w:lvl w:ilvl="0" w:tentative="0">
      <w:start w:val="3"/>
      <w:numFmt w:val="decimal"/>
      <w:suff w:val="nothing"/>
      <w:lvlText w:val="（%1）"/>
      <w:lvlJc w:val="left"/>
    </w:lvl>
  </w:abstractNum>
  <w:abstractNum w:abstractNumId="2">
    <w:nsid w:val="D5B19CE4"/>
    <w:multiLevelType w:val="singleLevel"/>
    <w:tmpl w:val="D5B19CE4"/>
    <w:lvl w:ilvl="0" w:tentative="0">
      <w:start w:val="1"/>
      <w:numFmt w:val="decimal"/>
      <w:suff w:val="nothing"/>
      <w:lvlText w:val="（%1）"/>
      <w:lvlJc w:val="left"/>
    </w:lvl>
  </w:abstractNum>
  <w:abstractNum w:abstractNumId="3">
    <w:nsid w:val="00000005"/>
    <w:multiLevelType w:val="multilevel"/>
    <w:tmpl w:val="00000005"/>
    <w:lvl w:ilvl="0" w:tentative="0">
      <w:start w:val="2"/>
      <w:numFmt w:val="decimal"/>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152B3C79"/>
    <w:multiLevelType w:val="singleLevel"/>
    <w:tmpl w:val="152B3C79"/>
    <w:lvl w:ilvl="0" w:tentative="0">
      <w:start w:val="1"/>
      <w:numFmt w:val="decimal"/>
      <w:suff w:val="nothing"/>
      <w:lvlText w:val="（%1）"/>
      <w:lvlJc w:val="left"/>
    </w:lvl>
  </w:abstractNum>
  <w:abstractNum w:abstractNumId="5">
    <w:nsid w:val="21572EA5"/>
    <w:multiLevelType w:val="singleLevel"/>
    <w:tmpl w:val="21572EA5"/>
    <w:lvl w:ilvl="0" w:tentative="0">
      <w:start w:val="1"/>
      <w:numFmt w:val="decimal"/>
      <w:suff w:val="nothing"/>
      <w:lvlText w:val="%1、"/>
      <w:lvlJc w:val="left"/>
      <w:rPr>
        <w:rFonts w:hint="default" w:ascii="宋体" w:hAnsi="宋体" w:eastAsia="宋体" w:cs="宋体"/>
        <w:highlight w:val="none"/>
      </w:rPr>
    </w:lvl>
  </w:abstractNum>
  <w:abstractNum w:abstractNumId="6">
    <w:nsid w:val="2CFC1AFD"/>
    <w:multiLevelType w:val="singleLevel"/>
    <w:tmpl w:val="2CFC1AFD"/>
    <w:lvl w:ilvl="0" w:tentative="0">
      <w:start w:val="5"/>
      <w:numFmt w:val="chineseCounting"/>
      <w:suff w:val="space"/>
      <w:lvlText w:val="第%1章"/>
      <w:lvlJc w:val="left"/>
      <w:rPr>
        <w:rFonts w:hint="eastAsia"/>
      </w:rPr>
    </w:lvl>
  </w:abstractNum>
  <w:abstractNum w:abstractNumId="7">
    <w:nsid w:val="45A1E0C6"/>
    <w:multiLevelType w:val="singleLevel"/>
    <w:tmpl w:val="45A1E0C6"/>
    <w:lvl w:ilvl="0" w:tentative="0">
      <w:start w:val="10"/>
      <w:numFmt w:val="decimal"/>
      <w:suff w:val="nothing"/>
      <w:lvlText w:val="（%1）"/>
      <w:lvlJc w:val="left"/>
      <w:pPr>
        <w:tabs>
          <w:tab w:val="left" w:pos="0"/>
        </w:tabs>
        <w:ind w:left="0" w:firstLine="0"/>
      </w:pPr>
    </w:lvl>
  </w:abstractNum>
  <w:num w:numId="1">
    <w:abstractNumId w:val="5"/>
  </w:num>
  <w:num w:numId="2">
    <w:abstractNumId w:val="1"/>
  </w:num>
  <w:num w:numId="3">
    <w:abstractNumId w:val="2"/>
  </w:num>
  <w:num w:numId="4">
    <w:abstractNumId w:val="7"/>
  </w:num>
  <w:num w:numId="5">
    <w:abstractNumId w:val="0"/>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ODA5MGI2YzU5NDI5ODBkZjkyMjEzMzBkOTdkNmYifQ=="/>
  </w:docVars>
  <w:rsids>
    <w:rsidRoot w:val="00172A27"/>
    <w:rsid w:val="0000197A"/>
    <w:rsid w:val="00002E1B"/>
    <w:rsid w:val="000046EA"/>
    <w:rsid w:val="00004E34"/>
    <w:rsid w:val="00005CD8"/>
    <w:rsid w:val="00006123"/>
    <w:rsid w:val="000070B7"/>
    <w:rsid w:val="0000758B"/>
    <w:rsid w:val="00010F4B"/>
    <w:rsid w:val="0001111D"/>
    <w:rsid w:val="00011A14"/>
    <w:rsid w:val="00012844"/>
    <w:rsid w:val="00012D1D"/>
    <w:rsid w:val="00017114"/>
    <w:rsid w:val="00017EFA"/>
    <w:rsid w:val="00020FE0"/>
    <w:rsid w:val="00021BDB"/>
    <w:rsid w:val="000225E0"/>
    <w:rsid w:val="00022A89"/>
    <w:rsid w:val="00023D05"/>
    <w:rsid w:val="00026E12"/>
    <w:rsid w:val="000273CC"/>
    <w:rsid w:val="000330C1"/>
    <w:rsid w:val="000335C0"/>
    <w:rsid w:val="00034C73"/>
    <w:rsid w:val="0003719A"/>
    <w:rsid w:val="00037B93"/>
    <w:rsid w:val="00040224"/>
    <w:rsid w:val="0004332D"/>
    <w:rsid w:val="00044907"/>
    <w:rsid w:val="0004695D"/>
    <w:rsid w:val="00046C34"/>
    <w:rsid w:val="00057DBF"/>
    <w:rsid w:val="000617FE"/>
    <w:rsid w:val="0006411D"/>
    <w:rsid w:val="000642AF"/>
    <w:rsid w:val="00066792"/>
    <w:rsid w:val="00072090"/>
    <w:rsid w:val="00076B75"/>
    <w:rsid w:val="00076F1D"/>
    <w:rsid w:val="00077234"/>
    <w:rsid w:val="000837EF"/>
    <w:rsid w:val="00083ADA"/>
    <w:rsid w:val="0008659F"/>
    <w:rsid w:val="00086C18"/>
    <w:rsid w:val="00090A07"/>
    <w:rsid w:val="00090F90"/>
    <w:rsid w:val="00093100"/>
    <w:rsid w:val="000939B1"/>
    <w:rsid w:val="00094E9D"/>
    <w:rsid w:val="000A078C"/>
    <w:rsid w:val="000A11AD"/>
    <w:rsid w:val="000A2C9F"/>
    <w:rsid w:val="000A475B"/>
    <w:rsid w:val="000A65EE"/>
    <w:rsid w:val="000B0DC9"/>
    <w:rsid w:val="000B3A75"/>
    <w:rsid w:val="000B4B76"/>
    <w:rsid w:val="000B547D"/>
    <w:rsid w:val="000B7A7E"/>
    <w:rsid w:val="000B7EE6"/>
    <w:rsid w:val="000C10AA"/>
    <w:rsid w:val="000C26FD"/>
    <w:rsid w:val="000D08DE"/>
    <w:rsid w:val="000D203E"/>
    <w:rsid w:val="000D2C3D"/>
    <w:rsid w:val="000D2ECE"/>
    <w:rsid w:val="000D4E9E"/>
    <w:rsid w:val="000D7F9C"/>
    <w:rsid w:val="000E0020"/>
    <w:rsid w:val="000E1F7F"/>
    <w:rsid w:val="000E227E"/>
    <w:rsid w:val="000E24EC"/>
    <w:rsid w:val="000E3D3D"/>
    <w:rsid w:val="000F7312"/>
    <w:rsid w:val="000F740E"/>
    <w:rsid w:val="00104E44"/>
    <w:rsid w:val="001063CB"/>
    <w:rsid w:val="0011140E"/>
    <w:rsid w:val="00114707"/>
    <w:rsid w:val="00115943"/>
    <w:rsid w:val="00116988"/>
    <w:rsid w:val="00120E5D"/>
    <w:rsid w:val="00125553"/>
    <w:rsid w:val="0012738D"/>
    <w:rsid w:val="00130FBA"/>
    <w:rsid w:val="00131494"/>
    <w:rsid w:val="00132E3D"/>
    <w:rsid w:val="0014049F"/>
    <w:rsid w:val="00140BFD"/>
    <w:rsid w:val="00142868"/>
    <w:rsid w:val="00146B5E"/>
    <w:rsid w:val="0015292B"/>
    <w:rsid w:val="0015363F"/>
    <w:rsid w:val="00154C59"/>
    <w:rsid w:val="00155F6F"/>
    <w:rsid w:val="001564C3"/>
    <w:rsid w:val="001620D9"/>
    <w:rsid w:val="0016514F"/>
    <w:rsid w:val="00165414"/>
    <w:rsid w:val="00165F97"/>
    <w:rsid w:val="00167090"/>
    <w:rsid w:val="00167507"/>
    <w:rsid w:val="00172A27"/>
    <w:rsid w:val="00173108"/>
    <w:rsid w:val="00173D37"/>
    <w:rsid w:val="00174E43"/>
    <w:rsid w:val="0018238C"/>
    <w:rsid w:val="00182D4C"/>
    <w:rsid w:val="001834BA"/>
    <w:rsid w:val="001843D3"/>
    <w:rsid w:val="00184866"/>
    <w:rsid w:val="00185DBC"/>
    <w:rsid w:val="001867E2"/>
    <w:rsid w:val="001919D1"/>
    <w:rsid w:val="00191DD8"/>
    <w:rsid w:val="00193AE6"/>
    <w:rsid w:val="00194AEF"/>
    <w:rsid w:val="001963BD"/>
    <w:rsid w:val="001A120B"/>
    <w:rsid w:val="001A184C"/>
    <w:rsid w:val="001A274E"/>
    <w:rsid w:val="001A2C88"/>
    <w:rsid w:val="001A37E0"/>
    <w:rsid w:val="001A3EC9"/>
    <w:rsid w:val="001A50F2"/>
    <w:rsid w:val="001A6EF7"/>
    <w:rsid w:val="001B1DF0"/>
    <w:rsid w:val="001B21A5"/>
    <w:rsid w:val="001B45D5"/>
    <w:rsid w:val="001B4675"/>
    <w:rsid w:val="001B4BDE"/>
    <w:rsid w:val="001B59E9"/>
    <w:rsid w:val="001B62B0"/>
    <w:rsid w:val="001B6A78"/>
    <w:rsid w:val="001C1FC2"/>
    <w:rsid w:val="001C4E01"/>
    <w:rsid w:val="001C7AB4"/>
    <w:rsid w:val="001D0C94"/>
    <w:rsid w:val="001D3498"/>
    <w:rsid w:val="001E1380"/>
    <w:rsid w:val="001E5247"/>
    <w:rsid w:val="001F23AB"/>
    <w:rsid w:val="001F32ED"/>
    <w:rsid w:val="001F4F95"/>
    <w:rsid w:val="001F7E70"/>
    <w:rsid w:val="00200459"/>
    <w:rsid w:val="00202DB7"/>
    <w:rsid w:val="00207065"/>
    <w:rsid w:val="00207999"/>
    <w:rsid w:val="00212D04"/>
    <w:rsid w:val="00213FCA"/>
    <w:rsid w:val="00214988"/>
    <w:rsid w:val="00214B43"/>
    <w:rsid w:val="00214F76"/>
    <w:rsid w:val="002202CE"/>
    <w:rsid w:val="0022219A"/>
    <w:rsid w:val="00222521"/>
    <w:rsid w:val="00227461"/>
    <w:rsid w:val="0022783F"/>
    <w:rsid w:val="00230392"/>
    <w:rsid w:val="00230583"/>
    <w:rsid w:val="00230A2B"/>
    <w:rsid w:val="00231547"/>
    <w:rsid w:val="002334EC"/>
    <w:rsid w:val="00235B32"/>
    <w:rsid w:val="00236AD7"/>
    <w:rsid w:val="00237688"/>
    <w:rsid w:val="00240423"/>
    <w:rsid w:val="00243B18"/>
    <w:rsid w:val="00246AD7"/>
    <w:rsid w:val="00246B91"/>
    <w:rsid w:val="00247A64"/>
    <w:rsid w:val="00250013"/>
    <w:rsid w:val="00250BCF"/>
    <w:rsid w:val="00253591"/>
    <w:rsid w:val="00255670"/>
    <w:rsid w:val="00256780"/>
    <w:rsid w:val="00262ABE"/>
    <w:rsid w:val="002657EE"/>
    <w:rsid w:val="00276F57"/>
    <w:rsid w:val="00277D06"/>
    <w:rsid w:val="002816D4"/>
    <w:rsid w:val="00286980"/>
    <w:rsid w:val="002928CE"/>
    <w:rsid w:val="00292C87"/>
    <w:rsid w:val="0029757E"/>
    <w:rsid w:val="002A1A66"/>
    <w:rsid w:val="002A39EF"/>
    <w:rsid w:val="002A599F"/>
    <w:rsid w:val="002A6E04"/>
    <w:rsid w:val="002B4BA8"/>
    <w:rsid w:val="002B7071"/>
    <w:rsid w:val="002B7117"/>
    <w:rsid w:val="002B714A"/>
    <w:rsid w:val="002B718A"/>
    <w:rsid w:val="002B7621"/>
    <w:rsid w:val="002C2E22"/>
    <w:rsid w:val="002C4A57"/>
    <w:rsid w:val="002C528E"/>
    <w:rsid w:val="002C5643"/>
    <w:rsid w:val="002E13EC"/>
    <w:rsid w:val="002E41CC"/>
    <w:rsid w:val="002F05E9"/>
    <w:rsid w:val="002F2C99"/>
    <w:rsid w:val="002F3D6A"/>
    <w:rsid w:val="002F794D"/>
    <w:rsid w:val="003029B3"/>
    <w:rsid w:val="00303019"/>
    <w:rsid w:val="00306787"/>
    <w:rsid w:val="00306966"/>
    <w:rsid w:val="0031113D"/>
    <w:rsid w:val="00311AAC"/>
    <w:rsid w:val="00313CA4"/>
    <w:rsid w:val="00314E82"/>
    <w:rsid w:val="003150CE"/>
    <w:rsid w:val="00315FF9"/>
    <w:rsid w:val="00316270"/>
    <w:rsid w:val="00321598"/>
    <w:rsid w:val="00321FDB"/>
    <w:rsid w:val="00323870"/>
    <w:rsid w:val="00323FFD"/>
    <w:rsid w:val="00324847"/>
    <w:rsid w:val="00324A5E"/>
    <w:rsid w:val="00325624"/>
    <w:rsid w:val="0032611D"/>
    <w:rsid w:val="003264EB"/>
    <w:rsid w:val="00326940"/>
    <w:rsid w:val="00330CCD"/>
    <w:rsid w:val="00332891"/>
    <w:rsid w:val="00332BBD"/>
    <w:rsid w:val="00333810"/>
    <w:rsid w:val="003343C0"/>
    <w:rsid w:val="00340804"/>
    <w:rsid w:val="00342D97"/>
    <w:rsid w:val="00343375"/>
    <w:rsid w:val="003448C2"/>
    <w:rsid w:val="00344CD6"/>
    <w:rsid w:val="0034662F"/>
    <w:rsid w:val="003510D2"/>
    <w:rsid w:val="00351A8E"/>
    <w:rsid w:val="0035447B"/>
    <w:rsid w:val="00356B27"/>
    <w:rsid w:val="00356B90"/>
    <w:rsid w:val="00357C8A"/>
    <w:rsid w:val="00360C29"/>
    <w:rsid w:val="0036101B"/>
    <w:rsid w:val="003613C6"/>
    <w:rsid w:val="00361CBA"/>
    <w:rsid w:val="00362EE3"/>
    <w:rsid w:val="0036593D"/>
    <w:rsid w:val="00366951"/>
    <w:rsid w:val="00370107"/>
    <w:rsid w:val="003720A1"/>
    <w:rsid w:val="003745F9"/>
    <w:rsid w:val="00376808"/>
    <w:rsid w:val="0037767C"/>
    <w:rsid w:val="003817E6"/>
    <w:rsid w:val="00381E22"/>
    <w:rsid w:val="0038244A"/>
    <w:rsid w:val="00382545"/>
    <w:rsid w:val="00383221"/>
    <w:rsid w:val="00384090"/>
    <w:rsid w:val="003844ED"/>
    <w:rsid w:val="00386132"/>
    <w:rsid w:val="003871B4"/>
    <w:rsid w:val="00393016"/>
    <w:rsid w:val="00394BA5"/>
    <w:rsid w:val="00394D82"/>
    <w:rsid w:val="003A70F7"/>
    <w:rsid w:val="003B39C6"/>
    <w:rsid w:val="003B4CDE"/>
    <w:rsid w:val="003B5919"/>
    <w:rsid w:val="003B7075"/>
    <w:rsid w:val="003B7983"/>
    <w:rsid w:val="003C24F4"/>
    <w:rsid w:val="003C4452"/>
    <w:rsid w:val="003C4CBD"/>
    <w:rsid w:val="003C7646"/>
    <w:rsid w:val="003D0BFC"/>
    <w:rsid w:val="003D206A"/>
    <w:rsid w:val="003D27B4"/>
    <w:rsid w:val="003D34ED"/>
    <w:rsid w:val="003D60ED"/>
    <w:rsid w:val="003D7852"/>
    <w:rsid w:val="003E0F27"/>
    <w:rsid w:val="003E15AB"/>
    <w:rsid w:val="003E3274"/>
    <w:rsid w:val="003E441B"/>
    <w:rsid w:val="003E528B"/>
    <w:rsid w:val="003E62C9"/>
    <w:rsid w:val="003E64A4"/>
    <w:rsid w:val="003F1184"/>
    <w:rsid w:val="003F19CD"/>
    <w:rsid w:val="003F34D1"/>
    <w:rsid w:val="003F5214"/>
    <w:rsid w:val="003F56BE"/>
    <w:rsid w:val="003F72A7"/>
    <w:rsid w:val="00403578"/>
    <w:rsid w:val="0040419B"/>
    <w:rsid w:val="00404AFD"/>
    <w:rsid w:val="0041061A"/>
    <w:rsid w:val="00411B9C"/>
    <w:rsid w:val="004139CC"/>
    <w:rsid w:val="00416BD0"/>
    <w:rsid w:val="004179E4"/>
    <w:rsid w:val="00422908"/>
    <w:rsid w:val="0042416B"/>
    <w:rsid w:val="004249BA"/>
    <w:rsid w:val="0042531B"/>
    <w:rsid w:val="004306D8"/>
    <w:rsid w:val="00430F18"/>
    <w:rsid w:val="00432BC1"/>
    <w:rsid w:val="00433924"/>
    <w:rsid w:val="00434AAC"/>
    <w:rsid w:val="0043512B"/>
    <w:rsid w:val="00435537"/>
    <w:rsid w:val="004355FE"/>
    <w:rsid w:val="00441E58"/>
    <w:rsid w:val="00445715"/>
    <w:rsid w:val="00445E0F"/>
    <w:rsid w:val="00446179"/>
    <w:rsid w:val="004506F7"/>
    <w:rsid w:val="0045199B"/>
    <w:rsid w:val="00451F70"/>
    <w:rsid w:val="00454C0F"/>
    <w:rsid w:val="00454F95"/>
    <w:rsid w:val="004571AF"/>
    <w:rsid w:val="00462043"/>
    <w:rsid w:val="0046380E"/>
    <w:rsid w:val="00466093"/>
    <w:rsid w:val="004712B0"/>
    <w:rsid w:val="00471B5C"/>
    <w:rsid w:val="00473006"/>
    <w:rsid w:val="00473509"/>
    <w:rsid w:val="00473BA0"/>
    <w:rsid w:val="00474B17"/>
    <w:rsid w:val="0047678B"/>
    <w:rsid w:val="00477FF4"/>
    <w:rsid w:val="00482303"/>
    <w:rsid w:val="00487C57"/>
    <w:rsid w:val="00494CD7"/>
    <w:rsid w:val="004A3117"/>
    <w:rsid w:val="004A394F"/>
    <w:rsid w:val="004A7299"/>
    <w:rsid w:val="004B15C6"/>
    <w:rsid w:val="004C0130"/>
    <w:rsid w:val="004C1E7E"/>
    <w:rsid w:val="004C2BF2"/>
    <w:rsid w:val="004C4C36"/>
    <w:rsid w:val="004C791A"/>
    <w:rsid w:val="004D0871"/>
    <w:rsid w:val="004D31D7"/>
    <w:rsid w:val="004D6B92"/>
    <w:rsid w:val="004E085C"/>
    <w:rsid w:val="004E0F8D"/>
    <w:rsid w:val="004F0E30"/>
    <w:rsid w:val="004F1D3D"/>
    <w:rsid w:val="004F3C9D"/>
    <w:rsid w:val="004F5CF2"/>
    <w:rsid w:val="004F77A5"/>
    <w:rsid w:val="00504F99"/>
    <w:rsid w:val="00505F69"/>
    <w:rsid w:val="005078D7"/>
    <w:rsid w:val="00510F89"/>
    <w:rsid w:val="00512B81"/>
    <w:rsid w:val="00513D1E"/>
    <w:rsid w:val="0052022B"/>
    <w:rsid w:val="005212B3"/>
    <w:rsid w:val="00525D5C"/>
    <w:rsid w:val="00526B90"/>
    <w:rsid w:val="00527D18"/>
    <w:rsid w:val="005324F1"/>
    <w:rsid w:val="005345CF"/>
    <w:rsid w:val="00534798"/>
    <w:rsid w:val="00534AB4"/>
    <w:rsid w:val="005362C3"/>
    <w:rsid w:val="00536BAD"/>
    <w:rsid w:val="00537141"/>
    <w:rsid w:val="005408F8"/>
    <w:rsid w:val="00543A1A"/>
    <w:rsid w:val="00543D1A"/>
    <w:rsid w:val="00545A63"/>
    <w:rsid w:val="00550A8B"/>
    <w:rsid w:val="00551ABE"/>
    <w:rsid w:val="00551F3F"/>
    <w:rsid w:val="00553C28"/>
    <w:rsid w:val="00555711"/>
    <w:rsid w:val="0055655B"/>
    <w:rsid w:val="005575EF"/>
    <w:rsid w:val="00557CAA"/>
    <w:rsid w:val="005610A7"/>
    <w:rsid w:val="00562097"/>
    <w:rsid w:val="00562642"/>
    <w:rsid w:val="00562653"/>
    <w:rsid w:val="00563B31"/>
    <w:rsid w:val="00564616"/>
    <w:rsid w:val="00565E25"/>
    <w:rsid w:val="00566512"/>
    <w:rsid w:val="005677A2"/>
    <w:rsid w:val="00571668"/>
    <w:rsid w:val="00573193"/>
    <w:rsid w:val="005736B2"/>
    <w:rsid w:val="0057643A"/>
    <w:rsid w:val="00580342"/>
    <w:rsid w:val="00582213"/>
    <w:rsid w:val="005901E1"/>
    <w:rsid w:val="005915F5"/>
    <w:rsid w:val="00591F58"/>
    <w:rsid w:val="00592834"/>
    <w:rsid w:val="00594FBF"/>
    <w:rsid w:val="0059693D"/>
    <w:rsid w:val="00597823"/>
    <w:rsid w:val="005A3405"/>
    <w:rsid w:val="005A5E6E"/>
    <w:rsid w:val="005A65D3"/>
    <w:rsid w:val="005A71BD"/>
    <w:rsid w:val="005A7C75"/>
    <w:rsid w:val="005B3CFB"/>
    <w:rsid w:val="005B4AA4"/>
    <w:rsid w:val="005B5C42"/>
    <w:rsid w:val="005B682A"/>
    <w:rsid w:val="005B705D"/>
    <w:rsid w:val="005C0054"/>
    <w:rsid w:val="005D0BCF"/>
    <w:rsid w:val="005D1D33"/>
    <w:rsid w:val="005D1E1A"/>
    <w:rsid w:val="005D2808"/>
    <w:rsid w:val="005D49DC"/>
    <w:rsid w:val="005D6EDB"/>
    <w:rsid w:val="005E4BD5"/>
    <w:rsid w:val="005E6D8D"/>
    <w:rsid w:val="005E7874"/>
    <w:rsid w:val="005F2C58"/>
    <w:rsid w:val="005F3CD8"/>
    <w:rsid w:val="005F6D4E"/>
    <w:rsid w:val="00601231"/>
    <w:rsid w:val="006015AA"/>
    <w:rsid w:val="006053A4"/>
    <w:rsid w:val="00610D91"/>
    <w:rsid w:val="0061143B"/>
    <w:rsid w:val="006173D9"/>
    <w:rsid w:val="006174D0"/>
    <w:rsid w:val="00617B19"/>
    <w:rsid w:val="00620E0C"/>
    <w:rsid w:val="0062507F"/>
    <w:rsid w:val="00626412"/>
    <w:rsid w:val="00627097"/>
    <w:rsid w:val="00627F07"/>
    <w:rsid w:val="00630701"/>
    <w:rsid w:val="00630A52"/>
    <w:rsid w:val="006314EC"/>
    <w:rsid w:val="006317D9"/>
    <w:rsid w:val="006319A4"/>
    <w:rsid w:val="006320EC"/>
    <w:rsid w:val="00632505"/>
    <w:rsid w:val="0063261C"/>
    <w:rsid w:val="00634E49"/>
    <w:rsid w:val="006404B8"/>
    <w:rsid w:val="00640732"/>
    <w:rsid w:val="00640CD1"/>
    <w:rsid w:val="006411FA"/>
    <w:rsid w:val="006468C4"/>
    <w:rsid w:val="00656322"/>
    <w:rsid w:val="0065656C"/>
    <w:rsid w:val="00662C9C"/>
    <w:rsid w:val="00664CCB"/>
    <w:rsid w:val="0066501C"/>
    <w:rsid w:val="00667847"/>
    <w:rsid w:val="00667E21"/>
    <w:rsid w:val="00672253"/>
    <w:rsid w:val="00672477"/>
    <w:rsid w:val="006803F2"/>
    <w:rsid w:val="00680EED"/>
    <w:rsid w:val="00683A32"/>
    <w:rsid w:val="00686C3A"/>
    <w:rsid w:val="0069751D"/>
    <w:rsid w:val="00697E3A"/>
    <w:rsid w:val="006A5A61"/>
    <w:rsid w:val="006A6C9D"/>
    <w:rsid w:val="006B06AF"/>
    <w:rsid w:val="006B3780"/>
    <w:rsid w:val="006B3913"/>
    <w:rsid w:val="006B5F0A"/>
    <w:rsid w:val="006B7B67"/>
    <w:rsid w:val="006C004B"/>
    <w:rsid w:val="006C09E3"/>
    <w:rsid w:val="006C12A2"/>
    <w:rsid w:val="006C1EAD"/>
    <w:rsid w:val="006C3056"/>
    <w:rsid w:val="006C3E9D"/>
    <w:rsid w:val="006C4608"/>
    <w:rsid w:val="006E29E7"/>
    <w:rsid w:val="006E3C5D"/>
    <w:rsid w:val="006E4C81"/>
    <w:rsid w:val="006F3D17"/>
    <w:rsid w:val="007010A6"/>
    <w:rsid w:val="007010E6"/>
    <w:rsid w:val="007013D6"/>
    <w:rsid w:val="00704877"/>
    <w:rsid w:val="007056DC"/>
    <w:rsid w:val="00707B0D"/>
    <w:rsid w:val="00707F33"/>
    <w:rsid w:val="00707FB8"/>
    <w:rsid w:val="00710E91"/>
    <w:rsid w:val="00712094"/>
    <w:rsid w:val="00712899"/>
    <w:rsid w:val="00716F04"/>
    <w:rsid w:val="007220FC"/>
    <w:rsid w:val="007224C8"/>
    <w:rsid w:val="00731F87"/>
    <w:rsid w:val="00734057"/>
    <w:rsid w:val="007347A9"/>
    <w:rsid w:val="00734A59"/>
    <w:rsid w:val="00737389"/>
    <w:rsid w:val="00740EA7"/>
    <w:rsid w:val="00741E7A"/>
    <w:rsid w:val="00743A79"/>
    <w:rsid w:val="00746374"/>
    <w:rsid w:val="0074694C"/>
    <w:rsid w:val="00750DC6"/>
    <w:rsid w:val="00751F36"/>
    <w:rsid w:val="00752ABA"/>
    <w:rsid w:val="007544B3"/>
    <w:rsid w:val="00754953"/>
    <w:rsid w:val="00755F4B"/>
    <w:rsid w:val="007569BF"/>
    <w:rsid w:val="00764F21"/>
    <w:rsid w:val="007650EA"/>
    <w:rsid w:val="00771225"/>
    <w:rsid w:val="007716E8"/>
    <w:rsid w:val="00771EE2"/>
    <w:rsid w:val="00772F61"/>
    <w:rsid w:val="007735D0"/>
    <w:rsid w:val="00776CE6"/>
    <w:rsid w:val="0077709D"/>
    <w:rsid w:val="0077725B"/>
    <w:rsid w:val="0078232E"/>
    <w:rsid w:val="007825BB"/>
    <w:rsid w:val="0078387C"/>
    <w:rsid w:val="007846BD"/>
    <w:rsid w:val="007852C4"/>
    <w:rsid w:val="00785C7C"/>
    <w:rsid w:val="00791072"/>
    <w:rsid w:val="00791620"/>
    <w:rsid w:val="00792C93"/>
    <w:rsid w:val="0079603B"/>
    <w:rsid w:val="00796119"/>
    <w:rsid w:val="00797F29"/>
    <w:rsid w:val="00797F99"/>
    <w:rsid w:val="007A3AD3"/>
    <w:rsid w:val="007A5486"/>
    <w:rsid w:val="007A59DE"/>
    <w:rsid w:val="007B10BC"/>
    <w:rsid w:val="007B2FBF"/>
    <w:rsid w:val="007B6549"/>
    <w:rsid w:val="007B7D18"/>
    <w:rsid w:val="007C065A"/>
    <w:rsid w:val="007C313C"/>
    <w:rsid w:val="007C5C10"/>
    <w:rsid w:val="007C5C4D"/>
    <w:rsid w:val="007D2547"/>
    <w:rsid w:val="007D3552"/>
    <w:rsid w:val="007D5303"/>
    <w:rsid w:val="007D6C61"/>
    <w:rsid w:val="007D7027"/>
    <w:rsid w:val="007E1D6E"/>
    <w:rsid w:val="007E60BB"/>
    <w:rsid w:val="007E66F0"/>
    <w:rsid w:val="007E6E71"/>
    <w:rsid w:val="007F0879"/>
    <w:rsid w:val="007F2072"/>
    <w:rsid w:val="007F7CC1"/>
    <w:rsid w:val="00801530"/>
    <w:rsid w:val="00803277"/>
    <w:rsid w:val="00803BC6"/>
    <w:rsid w:val="008044D7"/>
    <w:rsid w:val="00811BC8"/>
    <w:rsid w:val="00812181"/>
    <w:rsid w:val="0081385B"/>
    <w:rsid w:val="00816600"/>
    <w:rsid w:val="00821645"/>
    <w:rsid w:val="00822D2E"/>
    <w:rsid w:val="00827EA0"/>
    <w:rsid w:val="0083345E"/>
    <w:rsid w:val="00834EAE"/>
    <w:rsid w:val="00841403"/>
    <w:rsid w:val="0084190B"/>
    <w:rsid w:val="0084411B"/>
    <w:rsid w:val="00844951"/>
    <w:rsid w:val="00844D6E"/>
    <w:rsid w:val="00845A5D"/>
    <w:rsid w:val="008462FB"/>
    <w:rsid w:val="008465CD"/>
    <w:rsid w:val="0084663D"/>
    <w:rsid w:val="008515C0"/>
    <w:rsid w:val="00854873"/>
    <w:rsid w:val="00855E83"/>
    <w:rsid w:val="00856515"/>
    <w:rsid w:val="0086292A"/>
    <w:rsid w:val="00864FC6"/>
    <w:rsid w:val="00865B48"/>
    <w:rsid w:val="00872E7D"/>
    <w:rsid w:val="00874549"/>
    <w:rsid w:val="008756B7"/>
    <w:rsid w:val="008757B7"/>
    <w:rsid w:val="00880472"/>
    <w:rsid w:val="008813F9"/>
    <w:rsid w:val="0088144C"/>
    <w:rsid w:val="00881587"/>
    <w:rsid w:val="0088218C"/>
    <w:rsid w:val="00884060"/>
    <w:rsid w:val="00890796"/>
    <w:rsid w:val="0089321E"/>
    <w:rsid w:val="008933DF"/>
    <w:rsid w:val="00894C08"/>
    <w:rsid w:val="00895001"/>
    <w:rsid w:val="0089560E"/>
    <w:rsid w:val="008A0CBD"/>
    <w:rsid w:val="008A0D2A"/>
    <w:rsid w:val="008A1DEE"/>
    <w:rsid w:val="008A3970"/>
    <w:rsid w:val="008A5701"/>
    <w:rsid w:val="008B3DFF"/>
    <w:rsid w:val="008B3F28"/>
    <w:rsid w:val="008C49D3"/>
    <w:rsid w:val="008C5947"/>
    <w:rsid w:val="008C6DA1"/>
    <w:rsid w:val="008C72A6"/>
    <w:rsid w:val="008D3D94"/>
    <w:rsid w:val="008D618A"/>
    <w:rsid w:val="008E1DC0"/>
    <w:rsid w:val="008E30BF"/>
    <w:rsid w:val="008E35A0"/>
    <w:rsid w:val="008E3A25"/>
    <w:rsid w:val="008E5038"/>
    <w:rsid w:val="008F031C"/>
    <w:rsid w:val="008F1463"/>
    <w:rsid w:val="008F1F11"/>
    <w:rsid w:val="008F31C7"/>
    <w:rsid w:val="008F7358"/>
    <w:rsid w:val="008F7394"/>
    <w:rsid w:val="008F79D7"/>
    <w:rsid w:val="009006DF"/>
    <w:rsid w:val="00910153"/>
    <w:rsid w:val="00910A19"/>
    <w:rsid w:val="00910BDC"/>
    <w:rsid w:val="00910F4E"/>
    <w:rsid w:val="00911695"/>
    <w:rsid w:val="00911E55"/>
    <w:rsid w:val="00913F05"/>
    <w:rsid w:val="0091562C"/>
    <w:rsid w:val="009177B6"/>
    <w:rsid w:val="00917A27"/>
    <w:rsid w:val="00923CD3"/>
    <w:rsid w:val="00924202"/>
    <w:rsid w:val="00924E50"/>
    <w:rsid w:val="00925CC6"/>
    <w:rsid w:val="00926ABF"/>
    <w:rsid w:val="00927A26"/>
    <w:rsid w:val="00927D00"/>
    <w:rsid w:val="00930969"/>
    <w:rsid w:val="0093269F"/>
    <w:rsid w:val="00936433"/>
    <w:rsid w:val="009412CD"/>
    <w:rsid w:val="0095349A"/>
    <w:rsid w:val="00955204"/>
    <w:rsid w:val="00960CAB"/>
    <w:rsid w:val="00960CCB"/>
    <w:rsid w:val="00961359"/>
    <w:rsid w:val="00962A0B"/>
    <w:rsid w:val="00962C4D"/>
    <w:rsid w:val="00964D34"/>
    <w:rsid w:val="00966F72"/>
    <w:rsid w:val="0096757C"/>
    <w:rsid w:val="00967A23"/>
    <w:rsid w:val="00972946"/>
    <w:rsid w:val="00972E84"/>
    <w:rsid w:val="00974691"/>
    <w:rsid w:val="00976022"/>
    <w:rsid w:val="00976169"/>
    <w:rsid w:val="00976580"/>
    <w:rsid w:val="00977C3F"/>
    <w:rsid w:val="00977CC3"/>
    <w:rsid w:val="00980102"/>
    <w:rsid w:val="0098316D"/>
    <w:rsid w:val="00984D59"/>
    <w:rsid w:val="0098502F"/>
    <w:rsid w:val="00986D16"/>
    <w:rsid w:val="009910B5"/>
    <w:rsid w:val="009920AD"/>
    <w:rsid w:val="0099244A"/>
    <w:rsid w:val="009938B8"/>
    <w:rsid w:val="00994EB2"/>
    <w:rsid w:val="00995053"/>
    <w:rsid w:val="009A0735"/>
    <w:rsid w:val="009A25E2"/>
    <w:rsid w:val="009A37CD"/>
    <w:rsid w:val="009A4C36"/>
    <w:rsid w:val="009B1FF8"/>
    <w:rsid w:val="009B42EF"/>
    <w:rsid w:val="009B4E7E"/>
    <w:rsid w:val="009B5EED"/>
    <w:rsid w:val="009C20D3"/>
    <w:rsid w:val="009C37BF"/>
    <w:rsid w:val="009C6EE6"/>
    <w:rsid w:val="009C7333"/>
    <w:rsid w:val="009C7979"/>
    <w:rsid w:val="009D0966"/>
    <w:rsid w:val="009D0B0C"/>
    <w:rsid w:val="009D22E5"/>
    <w:rsid w:val="009D4B7E"/>
    <w:rsid w:val="009D5E13"/>
    <w:rsid w:val="009D71F1"/>
    <w:rsid w:val="009E015C"/>
    <w:rsid w:val="009E0909"/>
    <w:rsid w:val="009E37B1"/>
    <w:rsid w:val="009E3E05"/>
    <w:rsid w:val="009E5780"/>
    <w:rsid w:val="009E5D72"/>
    <w:rsid w:val="009E6EC4"/>
    <w:rsid w:val="009F01E1"/>
    <w:rsid w:val="009F2F5E"/>
    <w:rsid w:val="009F3B2F"/>
    <w:rsid w:val="009F42ED"/>
    <w:rsid w:val="009F60D9"/>
    <w:rsid w:val="00A01456"/>
    <w:rsid w:val="00A01B5E"/>
    <w:rsid w:val="00A02A20"/>
    <w:rsid w:val="00A03301"/>
    <w:rsid w:val="00A05E3C"/>
    <w:rsid w:val="00A0769D"/>
    <w:rsid w:val="00A07925"/>
    <w:rsid w:val="00A101E8"/>
    <w:rsid w:val="00A10455"/>
    <w:rsid w:val="00A1132C"/>
    <w:rsid w:val="00A1168E"/>
    <w:rsid w:val="00A11DCF"/>
    <w:rsid w:val="00A11EE6"/>
    <w:rsid w:val="00A1213C"/>
    <w:rsid w:val="00A14C01"/>
    <w:rsid w:val="00A1556E"/>
    <w:rsid w:val="00A169DC"/>
    <w:rsid w:val="00A20C10"/>
    <w:rsid w:val="00A22308"/>
    <w:rsid w:val="00A22EC9"/>
    <w:rsid w:val="00A25ED3"/>
    <w:rsid w:val="00A264B5"/>
    <w:rsid w:val="00A26E1A"/>
    <w:rsid w:val="00A27D67"/>
    <w:rsid w:val="00A317E0"/>
    <w:rsid w:val="00A37208"/>
    <w:rsid w:val="00A373FE"/>
    <w:rsid w:val="00A37744"/>
    <w:rsid w:val="00A4126B"/>
    <w:rsid w:val="00A431C8"/>
    <w:rsid w:val="00A47E8E"/>
    <w:rsid w:val="00A50183"/>
    <w:rsid w:val="00A50E52"/>
    <w:rsid w:val="00A512D9"/>
    <w:rsid w:val="00A52488"/>
    <w:rsid w:val="00A52EF8"/>
    <w:rsid w:val="00A52F87"/>
    <w:rsid w:val="00A550F0"/>
    <w:rsid w:val="00A55F4D"/>
    <w:rsid w:val="00A56DFC"/>
    <w:rsid w:val="00A607D6"/>
    <w:rsid w:val="00A65ACF"/>
    <w:rsid w:val="00A71725"/>
    <w:rsid w:val="00A730D4"/>
    <w:rsid w:val="00A75160"/>
    <w:rsid w:val="00A80107"/>
    <w:rsid w:val="00A80270"/>
    <w:rsid w:val="00A81E1C"/>
    <w:rsid w:val="00A82C07"/>
    <w:rsid w:val="00A8654F"/>
    <w:rsid w:val="00A921C2"/>
    <w:rsid w:val="00A93040"/>
    <w:rsid w:val="00A9331E"/>
    <w:rsid w:val="00A96C90"/>
    <w:rsid w:val="00AA1C5D"/>
    <w:rsid w:val="00AA207A"/>
    <w:rsid w:val="00AA672A"/>
    <w:rsid w:val="00AA7717"/>
    <w:rsid w:val="00AA7A7D"/>
    <w:rsid w:val="00AA7BA4"/>
    <w:rsid w:val="00AB24DF"/>
    <w:rsid w:val="00AB2639"/>
    <w:rsid w:val="00AB41F5"/>
    <w:rsid w:val="00AB534D"/>
    <w:rsid w:val="00AB6C48"/>
    <w:rsid w:val="00AB7F2E"/>
    <w:rsid w:val="00AC00B4"/>
    <w:rsid w:val="00AC26EA"/>
    <w:rsid w:val="00AC2702"/>
    <w:rsid w:val="00AC5E52"/>
    <w:rsid w:val="00AC75F2"/>
    <w:rsid w:val="00AD0D0C"/>
    <w:rsid w:val="00AD28A1"/>
    <w:rsid w:val="00AD39D3"/>
    <w:rsid w:val="00AD6CA7"/>
    <w:rsid w:val="00AF04EA"/>
    <w:rsid w:val="00AF1B9D"/>
    <w:rsid w:val="00AF2D9F"/>
    <w:rsid w:val="00AF4146"/>
    <w:rsid w:val="00B01E1E"/>
    <w:rsid w:val="00B04E52"/>
    <w:rsid w:val="00B064E0"/>
    <w:rsid w:val="00B0681C"/>
    <w:rsid w:val="00B06DF0"/>
    <w:rsid w:val="00B125E7"/>
    <w:rsid w:val="00B17733"/>
    <w:rsid w:val="00B17A2D"/>
    <w:rsid w:val="00B238A2"/>
    <w:rsid w:val="00B24199"/>
    <w:rsid w:val="00B2684F"/>
    <w:rsid w:val="00B30708"/>
    <w:rsid w:val="00B30B1C"/>
    <w:rsid w:val="00B32557"/>
    <w:rsid w:val="00B40A36"/>
    <w:rsid w:val="00B421B9"/>
    <w:rsid w:val="00B43070"/>
    <w:rsid w:val="00B43FAA"/>
    <w:rsid w:val="00B46946"/>
    <w:rsid w:val="00B52319"/>
    <w:rsid w:val="00B5524B"/>
    <w:rsid w:val="00B60374"/>
    <w:rsid w:val="00B624DE"/>
    <w:rsid w:val="00B631C4"/>
    <w:rsid w:val="00B648B6"/>
    <w:rsid w:val="00B65453"/>
    <w:rsid w:val="00B669BA"/>
    <w:rsid w:val="00B67E11"/>
    <w:rsid w:val="00B75280"/>
    <w:rsid w:val="00B81D39"/>
    <w:rsid w:val="00B82D37"/>
    <w:rsid w:val="00B879EB"/>
    <w:rsid w:val="00B87A14"/>
    <w:rsid w:val="00B87A48"/>
    <w:rsid w:val="00B91A45"/>
    <w:rsid w:val="00BA398E"/>
    <w:rsid w:val="00BA58F0"/>
    <w:rsid w:val="00BA6D3B"/>
    <w:rsid w:val="00BA7453"/>
    <w:rsid w:val="00BB0336"/>
    <w:rsid w:val="00BB0FA2"/>
    <w:rsid w:val="00BB2223"/>
    <w:rsid w:val="00BB2B7B"/>
    <w:rsid w:val="00BB2E6B"/>
    <w:rsid w:val="00BC0C20"/>
    <w:rsid w:val="00BC508C"/>
    <w:rsid w:val="00BC79D7"/>
    <w:rsid w:val="00BD1389"/>
    <w:rsid w:val="00BD41E9"/>
    <w:rsid w:val="00BD51C6"/>
    <w:rsid w:val="00BD7908"/>
    <w:rsid w:val="00BE057A"/>
    <w:rsid w:val="00BE2D96"/>
    <w:rsid w:val="00BE520A"/>
    <w:rsid w:val="00BE5A23"/>
    <w:rsid w:val="00BE6705"/>
    <w:rsid w:val="00BE7FAD"/>
    <w:rsid w:val="00BF03C1"/>
    <w:rsid w:val="00BF0DAF"/>
    <w:rsid w:val="00BF0E76"/>
    <w:rsid w:val="00BF1E08"/>
    <w:rsid w:val="00BF2EB6"/>
    <w:rsid w:val="00BF7A0C"/>
    <w:rsid w:val="00C063C0"/>
    <w:rsid w:val="00C06DB4"/>
    <w:rsid w:val="00C0756A"/>
    <w:rsid w:val="00C12BE9"/>
    <w:rsid w:val="00C13786"/>
    <w:rsid w:val="00C14FCB"/>
    <w:rsid w:val="00C15A0C"/>
    <w:rsid w:val="00C15FE3"/>
    <w:rsid w:val="00C2443D"/>
    <w:rsid w:val="00C24999"/>
    <w:rsid w:val="00C25A3F"/>
    <w:rsid w:val="00C2616B"/>
    <w:rsid w:val="00C26E45"/>
    <w:rsid w:val="00C318C2"/>
    <w:rsid w:val="00C35769"/>
    <w:rsid w:val="00C405C9"/>
    <w:rsid w:val="00C40FE1"/>
    <w:rsid w:val="00C434BA"/>
    <w:rsid w:val="00C44BCE"/>
    <w:rsid w:val="00C46EAD"/>
    <w:rsid w:val="00C51140"/>
    <w:rsid w:val="00C536A9"/>
    <w:rsid w:val="00C56A2B"/>
    <w:rsid w:val="00C57A7D"/>
    <w:rsid w:val="00C57DD2"/>
    <w:rsid w:val="00C6039F"/>
    <w:rsid w:val="00C61FE7"/>
    <w:rsid w:val="00C64B7C"/>
    <w:rsid w:val="00C673DF"/>
    <w:rsid w:val="00C75A94"/>
    <w:rsid w:val="00C77A24"/>
    <w:rsid w:val="00C77AA8"/>
    <w:rsid w:val="00C804FA"/>
    <w:rsid w:val="00C82D91"/>
    <w:rsid w:val="00C82E68"/>
    <w:rsid w:val="00C862B3"/>
    <w:rsid w:val="00C87690"/>
    <w:rsid w:val="00C87B3D"/>
    <w:rsid w:val="00C92F00"/>
    <w:rsid w:val="00C936E3"/>
    <w:rsid w:val="00C93DA5"/>
    <w:rsid w:val="00C9452A"/>
    <w:rsid w:val="00C94FA3"/>
    <w:rsid w:val="00C9774D"/>
    <w:rsid w:val="00CA00CA"/>
    <w:rsid w:val="00CA0334"/>
    <w:rsid w:val="00CA2884"/>
    <w:rsid w:val="00CA2953"/>
    <w:rsid w:val="00CA3206"/>
    <w:rsid w:val="00CA348C"/>
    <w:rsid w:val="00CA4CD5"/>
    <w:rsid w:val="00CA68AA"/>
    <w:rsid w:val="00CB12D2"/>
    <w:rsid w:val="00CB3280"/>
    <w:rsid w:val="00CB3F09"/>
    <w:rsid w:val="00CB4283"/>
    <w:rsid w:val="00CB4873"/>
    <w:rsid w:val="00CB57BD"/>
    <w:rsid w:val="00CB618B"/>
    <w:rsid w:val="00CC1A9F"/>
    <w:rsid w:val="00CC1C9A"/>
    <w:rsid w:val="00CC252A"/>
    <w:rsid w:val="00CC4493"/>
    <w:rsid w:val="00CC44BA"/>
    <w:rsid w:val="00CC47DB"/>
    <w:rsid w:val="00CC5D81"/>
    <w:rsid w:val="00CC7B84"/>
    <w:rsid w:val="00CD275C"/>
    <w:rsid w:val="00CD4231"/>
    <w:rsid w:val="00CD4AF0"/>
    <w:rsid w:val="00CD7B4A"/>
    <w:rsid w:val="00CE3A30"/>
    <w:rsid w:val="00CE4050"/>
    <w:rsid w:val="00CE4F1D"/>
    <w:rsid w:val="00CE602D"/>
    <w:rsid w:val="00CE65F8"/>
    <w:rsid w:val="00CE792C"/>
    <w:rsid w:val="00CE7DD4"/>
    <w:rsid w:val="00CF59F8"/>
    <w:rsid w:val="00CF615A"/>
    <w:rsid w:val="00CF745F"/>
    <w:rsid w:val="00D0047C"/>
    <w:rsid w:val="00D01366"/>
    <w:rsid w:val="00D0265F"/>
    <w:rsid w:val="00D03403"/>
    <w:rsid w:val="00D046B8"/>
    <w:rsid w:val="00D12693"/>
    <w:rsid w:val="00D1359A"/>
    <w:rsid w:val="00D22FAB"/>
    <w:rsid w:val="00D258FD"/>
    <w:rsid w:val="00D26687"/>
    <w:rsid w:val="00D2689C"/>
    <w:rsid w:val="00D26B80"/>
    <w:rsid w:val="00D30EE3"/>
    <w:rsid w:val="00D329C5"/>
    <w:rsid w:val="00D3321C"/>
    <w:rsid w:val="00D337F6"/>
    <w:rsid w:val="00D35580"/>
    <w:rsid w:val="00D356EA"/>
    <w:rsid w:val="00D401A6"/>
    <w:rsid w:val="00D409EF"/>
    <w:rsid w:val="00D40B26"/>
    <w:rsid w:val="00D453E0"/>
    <w:rsid w:val="00D5328E"/>
    <w:rsid w:val="00D54F1A"/>
    <w:rsid w:val="00D565F5"/>
    <w:rsid w:val="00D567DA"/>
    <w:rsid w:val="00D577DB"/>
    <w:rsid w:val="00D57E1A"/>
    <w:rsid w:val="00D608B9"/>
    <w:rsid w:val="00D61861"/>
    <w:rsid w:val="00D622CD"/>
    <w:rsid w:val="00D62567"/>
    <w:rsid w:val="00D66575"/>
    <w:rsid w:val="00D70550"/>
    <w:rsid w:val="00D80FD3"/>
    <w:rsid w:val="00D82784"/>
    <w:rsid w:val="00D8528C"/>
    <w:rsid w:val="00D87357"/>
    <w:rsid w:val="00D93C90"/>
    <w:rsid w:val="00D97E72"/>
    <w:rsid w:val="00DA0B4C"/>
    <w:rsid w:val="00DA116F"/>
    <w:rsid w:val="00DA25E7"/>
    <w:rsid w:val="00DA56E9"/>
    <w:rsid w:val="00DA71CC"/>
    <w:rsid w:val="00DB0579"/>
    <w:rsid w:val="00DB697C"/>
    <w:rsid w:val="00DB727B"/>
    <w:rsid w:val="00DB7622"/>
    <w:rsid w:val="00DB7E9D"/>
    <w:rsid w:val="00DC26C6"/>
    <w:rsid w:val="00DC277E"/>
    <w:rsid w:val="00DC3027"/>
    <w:rsid w:val="00DC383B"/>
    <w:rsid w:val="00DC3D1F"/>
    <w:rsid w:val="00DD13E3"/>
    <w:rsid w:val="00DD2ED9"/>
    <w:rsid w:val="00DD33A6"/>
    <w:rsid w:val="00DD4A45"/>
    <w:rsid w:val="00DD63D1"/>
    <w:rsid w:val="00DE0362"/>
    <w:rsid w:val="00DE222A"/>
    <w:rsid w:val="00DE34C7"/>
    <w:rsid w:val="00DE3DF8"/>
    <w:rsid w:val="00DE5E9E"/>
    <w:rsid w:val="00DE7D44"/>
    <w:rsid w:val="00DF0E81"/>
    <w:rsid w:val="00DF1196"/>
    <w:rsid w:val="00DF73D5"/>
    <w:rsid w:val="00E006A4"/>
    <w:rsid w:val="00E01733"/>
    <w:rsid w:val="00E041AA"/>
    <w:rsid w:val="00E0726C"/>
    <w:rsid w:val="00E12C8B"/>
    <w:rsid w:val="00E13696"/>
    <w:rsid w:val="00E15607"/>
    <w:rsid w:val="00E15BD9"/>
    <w:rsid w:val="00E20153"/>
    <w:rsid w:val="00E213C3"/>
    <w:rsid w:val="00E24AF7"/>
    <w:rsid w:val="00E2637A"/>
    <w:rsid w:val="00E31555"/>
    <w:rsid w:val="00E31DCB"/>
    <w:rsid w:val="00E3267B"/>
    <w:rsid w:val="00E350B1"/>
    <w:rsid w:val="00E355CF"/>
    <w:rsid w:val="00E355D3"/>
    <w:rsid w:val="00E37A69"/>
    <w:rsid w:val="00E40E68"/>
    <w:rsid w:val="00E420DA"/>
    <w:rsid w:val="00E432BC"/>
    <w:rsid w:val="00E452FF"/>
    <w:rsid w:val="00E46A23"/>
    <w:rsid w:val="00E471B1"/>
    <w:rsid w:val="00E47253"/>
    <w:rsid w:val="00E52FB0"/>
    <w:rsid w:val="00E5543F"/>
    <w:rsid w:val="00E61183"/>
    <w:rsid w:val="00E61800"/>
    <w:rsid w:val="00E62303"/>
    <w:rsid w:val="00E658A8"/>
    <w:rsid w:val="00E668DA"/>
    <w:rsid w:val="00E676D9"/>
    <w:rsid w:val="00E71800"/>
    <w:rsid w:val="00E73BE6"/>
    <w:rsid w:val="00E73BEC"/>
    <w:rsid w:val="00E73D9E"/>
    <w:rsid w:val="00E73E25"/>
    <w:rsid w:val="00E74949"/>
    <w:rsid w:val="00E74A8E"/>
    <w:rsid w:val="00E76AD5"/>
    <w:rsid w:val="00E82224"/>
    <w:rsid w:val="00E87A83"/>
    <w:rsid w:val="00E96C97"/>
    <w:rsid w:val="00EA09A8"/>
    <w:rsid w:val="00EA3E32"/>
    <w:rsid w:val="00EA6D61"/>
    <w:rsid w:val="00EA704E"/>
    <w:rsid w:val="00EA7F7C"/>
    <w:rsid w:val="00EB2913"/>
    <w:rsid w:val="00EB42BD"/>
    <w:rsid w:val="00EB642C"/>
    <w:rsid w:val="00EC2475"/>
    <w:rsid w:val="00EC4E86"/>
    <w:rsid w:val="00EC5566"/>
    <w:rsid w:val="00EC69E9"/>
    <w:rsid w:val="00ED12A0"/>
    <w:rsid w:val="00ED2D4B"/>
    <w:rsid w:val="00ED4F9C"/>
    <w:rsid w:val="00ED55F8"/>
    <w:rsid w:val="00ED5689"/>
    <w:rsid w:val="00ED697B"/>
    <w:rsid w:val="00ED70F4"/>
    <w:rsid w:val="00EE0B69"/>
    <w:rsid w:val="00EE0F9A"/>
    <w:rsid w:val="00EE1A69"/>
    <w:rsid w:val="00EE5547"/>
    <w:rsid w:val="00EE7CE2"/>
    <w:rsid w:val="00EF6DB6"/>
    <w:rsid w:val="00EF6EF4"/>
    <w:rsid w:val="00F00091"/>
    <w:rsid w:val="00F005E7"/>
    <w:rsid w:val="00F01476"/>
    <w:rsid w:val="00F0190B"/>
    <w:rsid w:val="00F0202B"/>
    <w:rsid w:val="00F02302"/>
    <w:rsid w:val="00F03454"/>
    <w:rsid w:val="00F0494D"/>
    <w:rsid w:val="00F04A09"/>
    <w:rsid w:val="00F05D9E"/>
    <w:rsid w:val="00F06492"/>
    <w:rsid w:val="00F07ED0"/>
    <w:rsid w:val="00F10121"/>
    <w:rsid w:val="00F1264F"/>
    <w:rsid w:val="00F12882"/>
    <w:rsid w:val="00F1424F"/>
    <w:rsid w:val="00F1577A"/>
    <w:rsid w:val="00F21581"/>
    <w:rsid w:val="00F22362"/>
    <w:rsid w:val="00F24C6B"/>
    <w:rsid w:val="00F26850"/>
    <w:rsid w:val="00F274AF"/>
    <w:rsid w:val="00F308B0"/>
    <w:rsid w:val="00F3163A"/>
    <w:rsid w:val="00F3402B"/>
    <w:rsid w:val="00F365E1"/>
    <w:rsid w:val="00F3673E"/>
    <w:rsid w:val="00F400D9"/>
    <w:rsid w:val="00F40471"/>
    <w:rsid w:val="00F43778"/>
    <w:rsid w:val="00F43A25"/>
    <w:rsid w:val="00F44207"/>
    <w:rsid w:val="00F442EF"/>
    <w:rsid w:val="00F44932"/>
    <w:rsid w:val="00F471C7"/>
    <w:rsid w:val="00F509D2"/>
    <w:rsid w:val="00F53E92"/>
    <w:rsid w:val="00F554B2"/>
    <w:rsid w:val="00F579EE"/>
    <w:rsid w:val="00F57BC9"/>
    <w:rsid w:val="00F60225"/>
    <w:rsid w:val="00F61A0A"/>
    <w:rsid w:val="00F61AD6"/>
    <w:rsid w:val="00F641D8"/>
    <w:rsid w:val="00F64532"/>
    <w:rsid w:val="00F66627"/>
    <w:rsid w:val="00F711EC"/>
    <w:rsid w:val="00F71E61"/>
    <w:rsid w:val="00F75713"/>
    <w:rsid w:val="00F75AB0"/>
    <w:rsid w:val="00F75C73"/>
    <w:rsid w:val="00F81536"/>
    <w:rsid w:val="00F85169"/>
    <w:rsid w:val="00F85239"/>
    <w:rsid w:val="00F8527D"/>
    <w:rsid w:val="00F8540D"/>
    <w:rsid w:val="00F90548"/>
    <w:rsid w:val="00F922EF"/>
    <w:rsid w:val="00F937BD"/>
    <w:rsid w:val="00F962DC"/>
    <w:rsid w:val="00FA07CF"/>
    <w:rsid w:val="00FA2F0E"/>
    <w:rsid w:val="00FA4ABC"/>
    <w:rsid w:val="00FA51C6"/>
    <w:rsid w:val="00FA5D2F"/>
    <w:rsid w:val="00FB11E7"/>
    <w:rsid w:val="00FB7C96"/>
    <w:rsid w:val="00FC1F97"/>
    <w:rsid w:val="00FC460B"/>
    <w:rsid w:val="00FC56B8"/>
    <w:rsid w:val="00FC5F20"/>
    <w:rsid w:val="00FC69AF"/>
    <w:rsid w:val="00FC7B5E"/>
    <w:rsid w:val="00FD079E"/>
    <w:rsid w:val="00FD0B41"/>
    <w:rsid w:val="00FD20A0"/>
    <w:rsid w:val="00FD4991"/>
    <w:rsid w:val="00FE0113"/>
    <w:rsid w:val="00FE0A00"/>
    <w:rsid w:val="00FE0D2A"/>
    <w:rsid w:val="00FE417B"/>
    <w:rsid w:val="00FE6AF1"/>
    <w:rsid w:val="00FE7A2E"/>
    <w:rsid w:val="00FF1392"/>
    <w:rsid w:val="00FF2D63"/>
    <w:rsid w:val="00FF403E"/>
    <w:rsid w:val="00FF6ACF"/>
    <w:rsid w:val="00FF7157"/>
    <w:rsid w:val="01086012"/>
    <w:rsid w:val="012F23D2"/>
    <w:rsid w:val="01353E46"/>
    <w:rsid w:val="013D20EF"/>
    <w:rsid w:val="013D4C8F"/>
    <w:rsid w:val="0141555F"/>
    <w:rsid w:val="01542AFA"/>
    <w:rsid w:val="015E6630"/>
    <w:rsid w:val="016C75C7"/>
    <w:rsid w:val="018D524F"/>
    <w:rsid w:val="019036D8"/>
    <w:rsid w:val="01A01767"/>
    <w:rsid w:val="01A66FAC"/>
    <w:rsid w:val="01BD4FDC"/>
    <w:rsid w:val="01C42B8B"/>
    <w:rsid w:val="01CE3A0A"/>
    <w:rsid w:val="01E941AE"/>
    <w:rsid w:val="01ED256A"/>
    <w:rsid w:val="01FE504C"/>
    <w:rsid w:val="02201D8C"/>
    <w:rsid w:val="0221105C"/>
    <w:rsid w:val="02240E71"/>
    <w:rsid w:val="022F6268"/>
    <w:rsid w:val="0230144B"/>
    <w:rsid w:val="023E2A8F"/>
    <w:rsid w:val="023F01AC"/>
    <w:rsid w:val="02497F02"/>
    <w:rsid w:val="025C7268"/>
    <w:rsid w:val="025D37A6"/>
    <w:rsid w:val="02630A21"/>
    <w:rsid w:val="027520D7"/>
    <w:rsid w:val="02910656"/>
    <w:rsid w:val="029452C8"/>
    <w:rsid w:val="0299330C"/>
    <w:rsid w:val="029E3E12"/>
    <w:rsid w:val="02AE2F1E"/>
    <w:rsid w:val="02B07476"/>
    <w:rsid w:val="02B12263"/>
    <w:rsid w:val="02B34262"/>
    <w:rsid w:val="02BA6D6B"/>
    <w:rsid w:val="02BC6761"/>
    <w:rsid w:val="02C30781"/>
    <w:rsid w:val="02C32A89"/>
    <w:rsid w:val="02EB23C8"/>
    <w:rsid w:val="02ED4254"/>
    <w:rsid w:val="02F54A67"/>
    <w:rsid w:val="02FB586B"/>
    <w:rsid w:val="032764F6"/>
    <w:rsid w:val="03355FAD"/>
    <w:rsid w:val="03357A15"/>
    <w:rsid w:val="033F6615"/>
    <w:rsid w:val="034A4B76"/>
    <w:rsid w:val="03604B36"/>
    <w:rsid w:val="03646BB0"/>
    <w:rsid w:val="036A455B"/>
    <w:rsid w:val="03700AD7"/>
    <w:rsid w:val="03881BEB"/>
    <w:rsid w:val="03B07722"/>
    <w:rsid w:val="03B94246"/>
    <w:rsid w:val="03C9092D"/>
    <w:rsid w:val="03C947DD"/>
    <w:rsid w:val="03CD0376"/>
    <w:rsid w:val="03E73921"/>
    <w:rsid w:val="03E868D9"/>
    <w:rsid w:val="03EB0F95"/>
    <w:rsid w:val="03F1290E"/>
    <w:rsid w:val="04002E0B"/>
    <w:rsid w:val="040F03FA"/>
    <w:rsid w:val="0412438A"/>
    <w:rsid w:val="04136717"/>
    <w:rsid w:val="041D2A27"/>
    <w:rsid w:val="04332546"/>
    <w:rsid w:val="04533461"/>
    <w:rsid w:val="048D54DF"/>
    <w:rsid w:val="04B51F1A"/>
    <w:rsid w:val="04BD0338"/>
    <w:rsid w:val="04C56D31"/>
    <w:rsid w:val="04CF0F22"/>
    <w:rsid w:val="04D7542D"/>
    <w:rsid w:val="04DD163F"/>
    <w:rsid w:val="04E452F2"/>
    <w:rsid w:val="04E82F5F"/>
    <w:rsid w:val="05084E1A"/>
    <w:rsid w:val="0536624A"/>
    <w:rsid w:val="05476ED2"/>
    <w:rsid w:val="05507187"/>
    <w:rsid w:val="05547F50"/>
    <w:rsid w:val="05586D81"/>
    <w:rsid w:val="056775E0"/>
    <w:rsid w:val="05812096"/>
    <w:rsid w:val="05A174D0"/>
    <w:rsid w:val="05A31C11"/>
    <w:rsid w:val="05A54A82"/>
    <w:rsid w:val="05B6570E"/>
    <w:rsid w:val="05B719DB"/>
    <w:rsid w:val="05D411B5"/>
    <w:rsid w:val="05DC03BC"/>
    <w:rsid w:val="05E03755"/>
    <w:rsid w:val="05E05D39"/>
    <w:rsid w:val="05EE025B"/>
    <w:rsid w:val="05FB2E46"/>
    <w:rsid w:val="06274DE9"/>
    <w:rsid w:val="0643158D"/>
    <w:rsid w:val="06606ACF"/>
    <w:rsid w:val="06632C8A"/>
    <w:rsid w:val="066C44D0"/>
    <w:rsid w:val="06780BE4"/>
    <w:rsid w:val="067D77AC"/>
    <w:rsid w:val="0688298E"/>
    <w:rsid w:val="06A978A6"/>
    <w:rsid w:val="06BA577F"/>
    <w:rsid w:val="06C373A0"/>
    <w:rsid w:val="06CA61EA"/>
    <w:rsid w:val="06CE3AAD"/>
    <w:rsid w:val="06D3256B"/>
    <w:rsid w:val="06E93094"/>
    <w:rsid w:val="07142FC9"/>
    <w:rsid w:val="0716354A"/>
    <w:rsid w:val="071A113A"/>
    <w:rsid w:val="071A5532"/>
    <w:rsid w:val="073F7F68"/>
    <w:rsid w:val="07433326"/>
    <w:rsid w:val="074D1200"/>
    <w:rsid w:val="07701435"/>
    <w:rsid w:val="078057A6"/>
    <w:rsid w:val="0791006E"/>
    <w:rsid w:val="07A93817"/>
    <w:rsid w:val="07AA51F7"/>
    <w:rsid w:val="07C16E32"/>
    <w:rsid w:val="07C956F1"/>
    <w:rsid w:val="07DE071F"/>
    <w:rsid w:val="07E724F1"/>
    <w:rsid w:val="07F54B10"/>
    <w:rsid w:val="080D2DB2"/>
    <w:rsid w:val="08236132"/>
    <w:rsid w:val="0824157E"/>
    <w:rsid w:val="082A5712"/>
    <w:rsid w:val="08365D8B"/>
    <w:rsid w:val="083932FD"/>
    <w:rsid w:val="083C1D74"/>
    <w:rsid w:val="0842480A"/>
    <w:rsid w:val="08442529"/>
    <w:rsid w:val="08664D5B"/>
    <w:rsid w:val="087338E5"/>
    <w:rsid w:val="087E552F"/>
    <w:rsid w:val="08935065"/>
    <w:rsid w:val="08994E2C"/>
    <w:rsid w:val="089E0248"/>
    <w:rsid w:val="08AA7F40"/>
    <w:rsid w:val="08AC09F8"/>
    <w:rsid w:val="08AF1C74"/>
    <w:rsid w:val="08B76FB8"/>
    <w:rsid w:val="08EC3C9C"/>
    <w:rsid w:val="08EF4818"/>
    <w:rsid w:val="08F26284"/>
    <w:rsid w:val="08F57B11"/>
    <w:rsid w:val="08F617F2"/>
    <w:rsid w:val="08F64252"/>
    <w:rsid w:val="08F94C8C"/>
    <w:rsid w:val="08FD0C7A"/>
    <w:rsid w:val="09027DBF"/>
    <w:rsid w:val="090F109A"/>
    <w:rsid w:val="09151314"/>
    <w:rsid w:val="09263609"/>
    <w:rsid w:val="092E2FE0"/>
    <w:rsid w:val="093E5BC8"/>
    <w:rsid w:val="0953633D"/>
    <w:rsid w:val="095867F9"/>
    <w:rsid w:val="09697733"/>
    <w:rsid w:val="09953804"/>
    <w:rsid w:val="099A0675"/>
    <w:rsid w:val="099C034D"/>
    <w:rsid w:val="09A71810"/>
    <w:rsid w:val="09AF52BC"/>
    <w:rsid w:val="09C556F2"/>
    <w:rsid w:val="09C9680A"/>
    <w:rsid w:val="09E33DCA"/>
    <w:rsid w:val="09EA33AB"/>
    <w:rsid w:val="09EA6668"/>
    <w:rsid w:val="0A0501E5"/>
    <w:rsid w:val="0A075D0B"/>
    <w:rsid w:val="0A0A57FB"/>
    <w:rsid w:val="0A193C90"/>
    <w:rsid w:val="0A1A77A1"/>
    <w:rsid w:val="0A3E3D26"/>
    <w:rsid w:val="0A4834F8"/>
    <w:rsid w:val="0A6173D2"/>
    <w:rsid w:val="0A682231"/>
    <w:rsid w:val="0A6825A9"/>
    <w:rsid w:val="0A781198"/>
    <w:rsid w:val="0AAC10E4"/>
    <w:rsid w:val="0AB07E4A"/>
    <w:rsid w:val="0AC93B72"/>
    <w:rsid w:val="0ACA6D38"/>
    <w:rsid w:val="0AD53C26"/>
    <w:rsid w:val="0ADD3B4A"/>
    <w:rsid w:val="0AEE775A"/>
    <w:rsid w:val="0AFF5154"/>
    <w:rsid w:val="0B0260FA"/>
    <w:rsid w:val="0B127FA5"/>
    <w:rsid w:val="0B187C06"/>
    <w:rsid w:val="0B462863"/>
    <w:rsid w:val="0B4B3360"/>
    <w:rsid w:val="0B6153F6"/>
    <w:rsid w:val="0B6C4BE2"/>
    <w:rsid w:val="0B895D1E"/>
    <w:rsid w:val="0B903157"/>
    <w:rsid w:val="0B9335CE"/>
    <w:rsid w:val="0BA653BF"/>
    <w:rsid w:val="0BAC6F99"/>
    <w:rsid w:val="0BCD1EAC"/>
    <w:rsid w:val="0BCF142C"/>
    <w:rsid w:val="0BDC319A"/>
    <w:rsid w:val="0BFB783E"/>
    <w:rsid w:val="0BFD5373"/>
    <w:rsid w:val="0BFD6481"/>
    <w:rsid w:val="0C0F0CD9"/>
    <w:rsid w:val="0C522960"/>
    <w:rsid w:val="0C631998"/>
    <w:rsid w:val="0C6821F6"/>
    <w:rsid w:val="0C990787"/>
    <w:rsid w:val="0C992D4F"/>
    <w:rsid w:val="0CAE3A50"/>
    <w:rsid w:val="0CBF15FF"/>
    <w:rsid w:val="0CC20F4F"/>
    <w:rsid w:val="0CD91857"/>
    <w:rsid w:val="0CDA4E4E"/>
    <w:rsid w:val="0CF258A4"/>
    <w:rsid w:val="0D212A41"/>
    <w:rsid w:val="0D214045"/>
    <w:rsid w:val="0D215F2C"/>
    <w:rsid w:val="0D314FE6"/>
    <w:rsid w:val="0D330BC5"/>
    <w:rsid w:val="0D540C02"/>
    <w:rsid w:val="0D571C0F"/>
    <w:rsid w:val="0D637F0E"/>
    <w:rsid w:val="0D645222"/>
    <w:rsid w:val="0D6A5410"/>
    <w:rsid w:val="0D794CB6"/>
    <w:rsid w:val="0D8324ED"/>
    <w:rsid w:val="0D8F059D"/>
    <w:rsid w:val="0D8F5855"/>
    <w:rsid w:val="0D936D15"/>
    <w:rsid w:val="0D9827E5"/>
    <w:rsid w:val="0DAF3D29"/>
    <w:rsid w:val="0DC466B9"/>
    <w:rsid w:val="0DC54945"/>
    <w:rsid w:val="0DF25BA4"/>
    <w:rsid w:val="0DFD573A"/>
    <w:rsid w:val="0DFE1012"/>
    <w:rsid w:val="0E0B029F"/>
    <w:rsid w:val="0E230373"/>
    <w:rsid w:val="0E2A41ED"/>
    <w:rsid w:val="0E30302E"/>
    <w:rsid w:val="0E351EED"/>
    <w:rsid w:val="0E397874"/>
    <w:rsid w:val="0E461B92"/>
    <w:rsid w:val="0E6059EA"/>
    <w:rsid w:val="0E632208"/>
    <w:rsid w:val="0E844468"/>
    <w:rsid w:val="0E9E135B"/>
    <w:rsid w:val="0EA44F43"/>
    <w:rsid w:val="0EA62844"/>
    <w:rsid w:val="0EC2669E"/>
    <w:rsid w:val="0ED75315"/>
    <w:rsid w:val="0ED756CF"/>
    <w:rsid w:val="0EE34A0A"/>
    <w:rsid w:val="0EEF23A4"/>
    <w:rsid w:val="0F2500FF"/>
    <w:rsid w:val="0F2A7DB7"/>
    <w:rsid w:val="0F2D61D9"/>
    <w:rsid w:val="0F43254D"/>
    <w:rsid w:val="0F45451E"/>
    <w:rsid w:val="0F5372FC"/>
    <w:rsid w:val="0F543C48"/>
    <w:rsid w:val="0F54568B"/>
    <w:rsid w:val="0F6801CF"/>
    <w:rsid w:val="0F7F71A8"/>
    <w:rsid w:val="0F851480"/>
    <w:rsid w:val="0F9B0554"/>
    <w:rsid w:val="0FAF5422"/>
    <w:rsid w:val="0FAF5990"/>
    <w:rsid w:val="0FB271E8"/>
    <w:rsid w:val="0FB3423F"/>
    <w:rsid w:val="0FB73D2F"/>
    <w:rsid w:val="0FBF1392"/>
    <w:rsid w:val="0FC41BDA"/>
    <w:rsid w:val="0FD84D52"/>
    <w:rsid w:val="0FD93801"/>
    <w:rsid w:val="0FDC41E3"/>
    <w:rsid w:val="0FE95EB3"/>
    <w:rsid w:val="100C40A0"/>
    <w:rsid w:val="10131FB5"/>
    <w:rsid w:val="10176676"/>
    <w:rsid w:val="1031732E"/>
    <w:rsid w:val="10327E3A"/>
    <w:rsid w:val="10374301"/>
    <w:rsid w:val="10394E9C"/>
    <w:rsid w:val="103A764D"/>
    <w:rsid w:val="103B6EC4"/>
    <w:rsid w:val="10457DEF"/>
    <w:rsid w:val="10482BD9"/>
    <w:rsid w:val="104A6951"/>
    <w:rsid w:val="105628E7"/>
    <w:rsid w:val="105A27E6"/>
    <w:rsid w:val="108120DC"/>
    <w:rsid w:val="108950E7"/>
    <w:rsid w:val="109135C4"/>
    <w:rsid w:val="10A4426E"/>
    <w:rsid w:val="10B656D8"/>
    <w:rsid w:val="10BB6F68"/>
    <w:rsid w:val="10C37A22"/>
    <w:rsid w:val="10C556C7"/>
    <w:rsid w:val="10C55FD8"/>
    <w:rsid w:val="10F772EF"/>
    <w:rsid w:val="11017A58"/>
    <w:rsid w:val="11023D17"/>
    <w:rsid w:val="110F34C8"/>
    <w:rsid w:val="11491151"/>
    <w:rsid w:val="1159543F"/>
    <w:rsid w:val="116230D1"/>
    <w:rsid w:val="116A7E05"/>
    <w:rsid w:val="11722460"/>
    <w:rsid w:val="117A4F14"/>
    <w:rsid w:val="119D6F55"/>
    <w:rsid w:val="11CB1987"/>
    <w:rsid w:val="11D529F0"/>
    <w:rsid w:val="11DC5FC8"/>
    <w:rsid w:val="11E71072"/>
    <w:rsid w:val="11F55D84"/>
    <w:rsid w:val="11F95233"/>
    <w:rsid w:val="11FE73E1"/>
    <w:rsid w:val="1206271C"/>
    <w:rsid w:val="120E39AF"/>
    <w:rsid w:val="12114BE2"/>
    <w:rsid w:val="121911ED"/>
    <w:rsid w:val="12261816"/>
    <w:rsid w:val="122816CA"/>
    <w:rsid w:val="1231523F"/>
    <w:rsid w:val="12392AE3"/>
    <w:rsid w:val="12421044"/>
    <w:rsid w:val="12437AFC"/>
    <w:rsid w:val="127A5380"/>
    <w:rsid w:val="12957C2C"/>
    <w:rsid w:val="1298079E"/>
    <w:rsid w:val="12AD5EBA"/>
    <w:rsid w:val="12B10442"/>
    <w:rsid w:val="12C319F0"/>
    <w:rsid w:val="12CB7F7B"/>
    <w:rsid w:val="12D57B5A"/>
    <w:rsid w:val="12D60970"/>
    <w:rsid w:val="12DA74FD"/>
    <w:rsid w:val="130354DD"/>
    <w:rsid w:val="13160E95"/>
    <w:rsid w:val="131D4A08"/>
    <w:rsid w:val="132A077A"/>
    <w:rsid w:val="132B4874"/>
    <w:rsid w:val="13365D96"/>
    <w:rsid w:val="133833D9"/>
    <w:rsid w:val="13401CF4"/>
    <w:rsid w:val="13474541"/>
    <w:rsid w:val="13597FDE"/>
    <w:rsid w:val="13610A7C"/>
    <w:rsid w:val="1370511E"/>
    <w:rsid w:val="138A2CF3"/>
    <w:rsid w:val="139600FA"/>
    <w:rsid w:val="139B1B3C"/>
    <w:rsid w:val="13AC7923"/>
    <w:rsid w:val="13BB36C2"/>
    <w:rsid w:val="13C163E4"/>
    <w:rsid w:val="13CF69C3"/>
    <w:rsid w:val="13E63AA6"/>
    <w:rsid w:val="13EB21F9"/>
    <w:rsid w:val="13F175F7"/>
    <w:rsid w:val="13F85DC5"/>
    <w:rsid w:val="13FC3073"/>
    <w:rsid w:val="14002DA6"/>
    <w:rsid w:val="141601C0"/>
    <w:rsid w:val="14183270"/>
    <w:rsid w:val="141D447E"/>
    <w:rsid w:val="141D6B0B"/>
    <w:rsid w:val="142D6F89"/>
    <w:rsid w:val="144554E0"/>
    <w:rsid w:val="144C2ACB"/>
    <w:rsid w:val="145908CD"/>
    <w:rsid w:val="146975C2"/>
    <w:rsid w:val="148617D9"/>
    <w:rsid w:val="149258A7"/>
    <w:rsid w:val="149321EC"/>
    <w:rsid w:val="14A979BF"/>
    <w:rsid w:val="14AA6C47"/>
    <w:rsid w:val="14AD74AF"/>
    <w:rsid w:val="14B81325"/>
    <w:rsid w:val="14BB5770"/>
    <w:rsid w:val="14CA4494"/>
    <w:rsid w:val="14DD13B5"/>
    <w:rsid w:val="14DF1102"/>
    <w:rsid w:val="14E74E80"/>
    <w:rsid w:val="14FB05D3"/>
    <w:rsid w:val="14FB1DB1"/>
    <w:rsid w:val="1507775C"/>
    <w:rsid w:val="15082EFA"/>
    <w:rsid w:val="15107A3E"/>
    <w:rsid w:val="15214D63"/>
    <w:rsid w:val="153E6FE7"/>
    <w:rsid w:val="15535F3F"/>
    <w:rsid w:val="155C3CBE"/>
    <w:rsid w:val="15697093"/>
    <w:rsid w:val="15760076"/>
    <w:rsid w:val="157E5DA4"/>
    <w:rsid w:val="159F6FD6"/>
    <w:rsid w:val="15A5462A"/>
    <w:rsid w:val="15B01BBF"/>
    <w:rsid w:val="15EC3B3E"/>
    <w:rsid w:val="15F1786F"/>
    <w:rsid w:val="15F46C2A"/>
    <w:rsid w:val="16121567"/>
    <w:rsid w:val="16175528"/>
    <w:rsid w:val="162D4D4B"/>
    <w:rsid w:val="16343F81"/>
    <w:rsid w:val="163948ED"/>
    <w:rsid w:val="164275F4"/>
    <w:rsid w:val="164717FA"/>
    <w:rsid w:val="1654148B"/>
    <w:rsid w:val="165710DF"/>
    <w:rsid w:val="16573B76"/>
    <w:rsid w:val="165B71D5"/>
    <w:rsid w:val="16700A7A"/>
    <w:rsid w:val="16734728"/>
    <w:rsid w:val="167D1103"/>
    <w:rsid w:val="1683572D"/>
    <w:rsid w:val="169E0BEA"/>
    <w:rsid w:val="16AF7EFC"/>
    <w:rsid w:val="16DD2BAC"/>
    <w:rsid w:val="16F70EB5"/>
    <w:rsid w:val="17197085"/>
    <w:rsid w:val="172460AC"/>
    <w:rsid w:val="172B1987"/>
    <w:rsid w:val="173054B2"/>
    <w:rsid w:val="17424EAD"/>
    <w:rsid w:val="174C1699"/>
    <w:rsid w:val="17544559"/>
    <w:rsid w:val="175E7E76"/>
    <w:rsid w:val="1763479D"/>
    <w:rsid w:val="178667F0"/>
    <w:rsid w:val="178A4C4F"/>
    <w:rsid w:val="17942AA9"/>
    <w:rsid w:val="17987255"/>
    <w:rsid w:val="179928AA"/>
    <w:rsid w:val="17A739C7"/>
    <w:rsid w:val="17C212EB"/>
    <w:rsid w:val="17C42121"/>
    <w:rsid w:val="17D82A95"/>
    <w:rsid w:val="17FB6C91"/>
    <w:rsid w:val="18053F1E"/>
    <w:rsid w:val="18085749"/>
    <w:rsid w:val="180B6D06"/>
    <w:rsid w:val="181A3262"/>
    <w:rsid w:val="181C3FF8"/>
    <w:rsid w:val="18365CFA"/>
    <w:rsid w:val="184114A1"/>
    <w:rsid w:val="18425C49"/>
    <w:rsid w:val="186969E3"/>
    <w:rsid w:val="188C7694"/>
    <w:rsid w:val="18BE3F0D"/>
    <w:rsid w:val="18C140E3"/>
    <w:rsid w:val="18CD6371"/>
    <w:rsid w:val="18DA0A8E"/>
    <w:rsid w:val="18DC03A2"/>
    <w:rsid w:val="18E11EA5"/>
    <w:rsid w:val="18FA4C8D"/>
    <w:rsid w:val="19054750"/>
    <w:rsid w:val="19083037"/>
    <w:rsid w:val="19092828"/>
    <w:rsid w:val="19103908"/>
    <w:rsid w:val="1933462F"/>
    <w:rsid w:val="19390D64"/>
    <w:rsid w:val="19554C37"/>
    <w:rsid w:val="19566DB3"/>
    <w:rsid w:val="195773D2"/>
    <w:rsid w:val="196279A1"/>
    <w:rsid w:val="198040A4"/>
    <w:rsid w:val="198C37FE"/>
    <w:rsid w:val="19A941C1"/>
    <w:rsid w:val="19AE5ACF"/>
    <w:rsid w:val="19AF5A77"/>
    <w:rsid w:val="19B3071D"/>
    <w:rsid w:val="19B675DA"/>
    <w:rsid w:val="19C57049"/>
    <w:rsid w:val="19C637E5"/>
    <w:rsid w:val="19C721FB"/>
    <w:rsid w:val="19CE5CD8"/>
    <w:rsid w:val="19F02EFF"/>
    <w:rsid w:val="1A052165"/>
    <w:rsid w:val="1A063EF5"/>
    <w:rsid w:val="1A0F3AD5"/>
    <w:rsid w:val="1A0F6516"/>
    <w:rsid w:val="1A0F7374"/>
    <w:rsid w:val="1A142D27"/>
    <w:rsid w:val="1A1816AF"/>
    <w:rsid w:val="1A302494"/>
    <w:rsid w:val="1A330E88"/>
    <w:rsid w:val="1A407304"/>
    <w:rsid w:val="1A60672B"/>
    <w:rsid w:val="1A630F50"/>
    <w:rsid w:val="1A6732FB"/>
    <w:rsid w:val="1A7929A3"/>
    <w:rsid w:val="1A7B4669"/>
    <w:rsid w:val="1A870B38"/>
    <w:rsid w:val="1A8C5DB8"/>
    <w:rsid w:val="1A8C6CF6"/>
    <w:rsid w:val="1A9417D9"/>
    <w:rsid w:val="1AA572B8"/>
    <w:rsid w:val="1AA70EB7"/>
    <w:rsid w:val="1AAA4949"/>
    <w:rsid w:val="1AB31D2F"/>
    <w:rsid w:val="1AC00AAF"/>
    <w:rsid w:val="1ACE55DA"/>
    <w:rsid w:val="1ACE6054"/>
    <w:rsid w:val="1ACE6D27"/>
    <w:rsid w:val="1AE0038B"/>
    <w:rsid w:val="1B403FA5"/>
    <w:rsid w:val="1B450A9E"/>
    <w:rsid w:val="1B481CDF"/>
    <w:rsid w:val="1B4B17D0"/>
    <w:rsid w:val="1B524326"/>
    <w:rsid w:val="1B55168B"/>
    <w:rsid w:val="1B63458F"/>
    <w:rsid w:val="1B645069"/>
    <w:rsid w:val="1B7D1BE7"/>
    <w:rsid w:val="1B7D1D15"/>
    <w:rsid w:val="1B8227E1"/>
    <w:rsid w:val="1B8637EA"/>
    <w:rsid w:val="1B966EEF"/>
    <w:rsid w:val="1BDD1B28"/>
    <w:rsid w:val="1BE57F51"/>
    <w:rsid w:val="1C022610"/>
    <w:rsid w:val="1C037CCC"/>
    <w:rsid w:val="1C085913"/>
    <w:rsid w:val="1C0876C1"/>
    <w:rsid w:val="1C2F4A48"/>
    <w:rsid w:val="1C37598E"/>
    <w:rsid w:val="1C400DCC"/>
    <w:rsid w:val="1C4A3D51"/>
    <w:rsid w:val="1C550B58"/>
    <w:rsid w:val="1C6062B5"/>
    <w:rsid w:val="1C656B00"/>
    <w:rsid w:val="1C657709"/>
    <w:rsid w:val="1C6D522B"/>
    <w:rsid w:val="1C762201"/>
    <w:rsid w:val="1C87757C"/>
    <w:rsid w:val="1C911F05"/>
    <w:rsid w:val="1C9232F2"/>
    <w:rsid w:val="1C943E77"/>
    <w:rsid w:val="1C993860"/>
    <w:rsid w:val="1CB517E1"/>
    <w:rsid w:val="1CBF5FD1"/>
    <w:rsid w:val="1CC07FCD"/>
    <w:rsid w:val="1CCD060E"/>
    <w:rsid w:val="1CD4109A"/>
    <w:rsid w:val="1CDE3631"/>
    <w:rsid w:val="1CE814D1"/>
    <w:rsid w:val="1CFE11B3"/>
    <w:rsid w:val="1D00167E"/>
    <w:rsid w:val="1D01132A"/>
    <w:rsid w:val="1D022EEB"/>
    <w:rsid w:val="1D2C5B34"/>
    <w:rsid w:val="1D3444B7"/>
    <w:rsid w:val="1D3A1AFC"/>
    <w:rsid w:val="1D3F2887"/>
    <w:rsid w:val="1D413DD6"/>
    <w:rsid w:val="1D442082"/>
    <w:rsid w:val="1D494085"/>
    <w:rsid w:val="1D6104E9"/>
    <w:rsid w:val="1D6D5E73"/>
    <w:rsid w:val="1D6E2EA0"/>
    <w:rsid w:val="1D7C0366"/>
    <w:rsid w:val="1D90430C"/>
    <w:rsid w:val="1DA228F6"/>
    <w:rsid w:val="1DA26C67"/>
    <w:rsid w:val="1DB571C9"/>
    <w:rsid w:val="1DBF6F58"/>
    <w:rsid w:val="1DFC5003"/>
    <w:rsid w:val="1E2527AC"/>
    <w:rsid w:val="1E2A3F9F"/>
    <w:rsid w:val="1E65546D"/>
    <w:rsid w:val="1E7B6900"/>
    <w:rsid w:val="1E933E22"/>
    <w:rsid w:val="1EB60A31"/>
    <w:rsid w:val="1EC6457D"/>
    <w:rsid w:val="1EC7170B"/>
    <w:rsid w:val="1EC7534C"/>
    <w:rsid w:val="1ECD7160"/>
    <w:rsid w:val="1ED34F83"/>
    <w:rsid w:val="1ED641E3"/>
    <w:rsid w:val="1EED4935"/>
    <w:rsid w:val="1EF15FC6"/>
    <w:rsid w:val="1F196F16"/>
    <w:rsid w:val="1F1F544D"/>
    <w:rsid w:val="1F294330"/>
    <w:rsid w:val="1F2A3EE6"/>
    <w:rsid w:val="1F5164BE"/>
    <w:rsid w:val="1F530AFF"/>
    <w:rsid w:val="1F550636"/>
    <w:rsid w:val="1F6725BD"/>
    <w:rsid w:val="1F6F0182"/>
    <w:rsid w:val="1F751014"/>
    <w:rsid w:val="1F7A16FF"/>
    <w:rsid w:val="1F841E94"/>
    <w:rsid w:val="1F86410F"/>
    <w:rsid w:val="1F987D78"/>
    <w:rsid w:val="1FAD0B55"/>
    <w:rsid w:val="1FB57B5F"/>
    <w:rsid w:val="1FBA786C"/>
    <w:rsid w:val="1FC55FF4"/>
    <w:rsid w:val="1FDF7221"/>
    <w:rsid w:val="1FE07DD2"/>
    <w:rsid w:val="1FF72B1D"/>
    <w:rsid w:val="2000702C"/>
    <w:rsid w:val="201952D2"/>
    <w:rsid w:val="2020109E"/>
    <w:rsid w:val="20220096"/>
    <w:rsid w:val="202816B6"/>
    <w:rsid w:val="20352DB6"/>
    <w:rsid w:val="204E725A"/>
    <w:rsid w:val="205050F3"/>
    <w:rsid w:val="20665891"/>
    <w:rsid w:val="208241B4"/>
    <w:rsid w:val="208F5999"/>
    <w:rsid w:val="20B05494"/>
    <w:rsid w:val="20BD4F1E"/>
    <w:rsid w:val="20D109C9"/>
    <w:rsid w:val="20EE5770"/>
    <w:rsid w:val="2107261C"/>
    <w:rsid w:val="21147FEE"/>
    <w:rsid w:val="2132760F"/>
    <w:rsid w:val="213F7E47"/>
    <w:rsid w:val="21592FEC"/>
    <w:rsid w:val="215B2DFE"/>
    <w:rsid w:val="215C5CD9"/>
    <w:rsid w:val="215F2E6D"/>
    <w:rsid w:val="218B2E3C"/>
    <w:rsid w:val="219E13DD"/>
    <w:rsid w:val="21B5456C"/>
    <w:rsid w:val="21C0289A"/>
    <w:rsid w:val="21C314C7"/>
    <w:rsid w:val="21CB366A"/>
    <w:rsid w:val="21E53DD4"/>
    <w:rsid w:val="21FE67C3"/>
    <w:rsid w:val="21FF567A"/>
    <w:rsid w:val="220019CB"/>
    <w:rsid w:val="22080E1D"/>
    <w:rsid w:val="222E4A4B"/>
    <w:rsid w:val="224564ED"/>
    <w:rsid w:val="225B1C1A"/>
    <w:rsid w:val="22655D1C"/>
    <w:rsid w:val="227A5579"/>
    <w:rsid w:val="227B3EC3"/>
    <w:rsid w:val="22AC6E9D"/>
    <w:rsid w:val="22AF6B28"/>
    <w:rsid w:val="22BF1959"/>
    <w:rsid w:val="22FE3A70"/>
    <w:rsid w:val="23007343"/>
    <w:rsid w:val="230A1D1E"/>
    <w:rsid w:val="230F3D0A"/>
    <w:rsid w:val="232E3EB1"/>
    <w:rsid w:val="23341448"/>
    <w:rsid w:val="23385650"/>
    <w:rsid w:val="23425BAE"/>
    <w:rsid w:val="23517B9F"/>
    <w:rsid w:val="23531B69"/>
    <w:rsid w:val="235C6C70"/>
    <w:rsid w:val="237F04EF"/>
    <w:rsid w:val="23841437"/>
    <w:rsid w:val="238A3CA3"/>
    <w:rsid w:val="23AA4BFB"/>
    <w:rsid w:val="23AF4708"/>
    <w:rsid w:val="23C16A9A"/>
    <w:rsid w:val="23C465C3"/>
    <w:rsid w:val="23E66003"/>
    <w:rsid w:val="23F80076"/>
    <w:rsid w:val="23FE2FB7"/>
    <w:rsid w:val="23FE3AF7"/>
    <w:rsid w:val="241B7142"/>
    <w:rsid w:val="24452007"/>
    <w:rsid w:val="244802C7"/>
    <w:rsid w:val="244C0B39"/>
    <w:rsid w:val="245A32E7"/>
    <w:rsid w:val="24635935"/>
    <w:rsid w:val="24660E6A"/>
    <w:rsid w:val="24665559"/>
    <w:rsid w:val="24691825"/>
    <w:rsid w:val="248E0BEE"/>
    <w:rsid w:val="249222CA"/>
    <w:rsid w:val="24B056E4"/>
    <w:rsid w:val="24CC572F"/>
    <w:rsid w:val="24CF65FC"/>
    <w:rsid w:val="24D258A5"/>
    <w:rsid w:val="24DA6A74"/>
    <w:rsid w:val="24DB4BCD"/>
    <w:rsid w:val="24F602A0"/>
    <w:rsid w:val="250025A0"/>
    <w:rsid w:val="25296C9F"/>
    <w:rsid w:val="25401D76"/>
    <w:rsid w:val="2544236B"/>
    <w:rsid w:val="25453733"/>
    <w:rsid w:val="256C3562"/>
    <w:rsid w:val="257F6C45"/>
    <w:rsid w:val="258C736F"/>
    <w:rsid w:val="25977271"/>
    <w:rsid w:val="259B2D68"/>
    <w:rsid w:val="259E7D45"/>
    <w:rsid w:val="25A6077B"/>
    <w:rsid w:val="25A941CC"/>
    <w:rsid w:val="25A97E1E"/>
    <w:rsid w:val="25B40CD0"/>
    <w:rsid w:val="25BF4424"/>
    <w:rsid w:val="25C17AFA"/>
    <w:rsid w:val="25C251DB"/>
    <w:rsid w:val="25E00E0C"/>
    <w:rsid w:val="25EF379B"/>
    <w:rsid w:val="260C11C1"/>
    <w:rsid w:val="261049C1"/>
    <w:rsid w:val="261E645E"/>
    <w:rsid w:val="26383109"/>
    <w:rsid w:val="2641214D"/>
    <w:rsid w:val="26597FFC"/>
    <w:rsid w:val="26697AAB"/>
    <w:rsid w:val="266D2F42"/>
    <w:rsid w:val="2673065B"/>
    <w:rsid w:val="26746071"/>
    <w:rsid w:val="267839D3"/>
    <w:rsid w:val="26802C75"/>
    <w:rsid w:val="268423E1"/>
    <w:rsid w:val="26890627"/>
    <w:rsid w:val="26937CAB"/>
    <w:rsid w:val="26A43060"/>
    <w:rsid w:val="26BB1EFF"/>
    <w:rsid w:val="26BB2001"/>
    <w:rsid w:val="26C467F8"/>
    <w:rsid w:val="26E35358"/>
    <w:rsid w:val="270E00FE"/>
    <w:rsid w:val="270E298C"/>
    <w:rsid w:val="270E29F5"/>
    <w:rsid w:val="271512D2"/>
    <w:rsid w:val="272A0E33"/>
    <w:rsid w:val="272A2D2F"/>
    <w:rsid w:val="274020AE"/>
    <w:rsid w:val="27446B6F"/>
    <w:rsid w:val="274F752C"/>
    <w:rsid w:val="27520933"/>
    <w:rsid w:val="27584657"/>
    <w:rsid w:val="275E5A93"/>
    <w:rsid w:val="27736226"/>
    <w:rsid w:val="27755DA7"/>
    <w:rsid w:val="277C7F9A"/>
    <w:rsid w:val="279D2924"/>
    <w:rsid w:val="27A52E1A"/>
    <w:rsid w:val="27AC7A9A"/>
    <w:rsid w:val="27C53958"/>
    <w:rsid w:val="27D36D37"/>
    <w:rsid w:val="27DA4B73"/>
    <w:rsid w:val="27E61F25"/>
    <w:rsid w:val="27EC31BB"/>
    <w:rsid w:val="27ED2CBD"/>
    <w:rsid w:val="27F63DA6"/>
    <w:rsid w:val="27FA5CB6"/>
    <w:rsid w:val="280D34EA"/>
    <w:rsid w:val="281466B1"/>
    <w:rsid w:val="281713B7"/>
    <w:rsid w:val="281824A7"/>
    <w:rsid w:val="28312BBF"/>
    <w:rsid w:val="283B7736"/>
    <w:rsid w:val="2852403A"/>
    <w:rsid w:val="285F673E"/>
    <w:rsid w:val="28644CCA"/>
    <w:rsid w:val="28687E65"/>
    <w:rsid w:val="28732D83"/>
    <w:rsid w:val="288F6949"/>
    <w:rsid w:val="28911AF2"/>
    <w:rsid w:val="289151CA"/>
    <w:rsid w:val="28A10C81"/>
    <w:rsid w:val="28A2680F"/>
    <w:rsid w:val="28B63487"/>
    <w:rsid w:val="28DF17A9"/>
    <w:rsid w:val="28EB31BC"/>
    <w:rsid w:val="28EB583C"/>
    <w:rsid w:val="28EC2844"/>
    <w:rsid w:val="28F402DA"/>
    <w:rsid w:val="28FC78BE"/>
    <w:rsid w:val="29000A40"/>
    <w:rsid w:val="290F29AF"/>
    <w:rsid w:val="292D0766"/>
    <w:rsid w:val="293634F4"/>
    <w:rsid w:val="29600B3C"/>
    <w:rsid w:val="29606D8E"/>
    <w:rsid w:val="29671ECA"/>
    <w:rsid w:val="29770361"/>
    <w:rsid w:val="2985201E"/>
    <w:rsid w:val="29C55899"/>
    <w:rsid w:val="29D3130E"/>
    <w:rsid w:val="29F2147C"/>
    <w:rsid w:val="2A0C4A40"/>
    <w:rsid w:val="2A0D3DED"/>
    <w:rsid w:val="2A104310"/>
    <w:rsid w:val="2A134AF4"/>
    <w:rsid w:val="2A255C2B"/>
    <w:rsid w:val="2A2B7BC9"/>
    <w:rsid w:val="2A3A5DF9"/>
    <w:rsid w:val="2A4926C2"/>
    <w:rsid w:val="2A4B107A"/>
    <w:rsid w:val="2A4D2BFD"/>
    <w:rsid w:val="2A530EDF"/>
    <w:rsid w:val="2A574428"/>
    <w:rsid w:val="2A5F6992"/>
    <w:rsid w:val="2A7949E3"/>
    <w:rsid w:val="2A80647C"/>
    <w:rsid w:val="2A8E62B6"/>
    <w:rsid w:val="2A9572CC"/>
    <w:rsid w:val="2AA9206F"/>
    <w:rsid w:val="2AD81233"/>
    <w:rsid w:val="2AE63EFE"/>
    <w:rsid w:val="2B053749"/>
    <w:rsid w:val="2B195446"/>
    <w:rsid w:val="2B2E227F"/>
    <w:rsid w:val="2B2F07C6"/>
    <w:rsid w:val="2B3404E2"/>
    <w:rsid w:val="2B363CF4"/>
    <w:rsid w:val="2B3A7305"/>
    <w:rsid w:val="2B425FD0"/>
    <w:rsid w:val="2B4268A6"/>
    <w:rsid w:val="2B536BAA"/>
    <w:rsid w:val="2B8C79C6"/>
    <w:rsid w:val="2B9B40AD"/>
    <w:rsid w:val="2B9B4F58"/>
    <w:rsid w:val="2BA3696C"/>
    <w:rsid w:val="2BAA0794"/>
    <w:rsid w:val="2BB67A51"/>
    <w:rsid w:val="2BB769EE"/>
    <w:rsid w:val="2BB8130D"/>
    <w:rsid w:val="2BC058C2"/>
    <w:rsid w:val="2BC1223D"/>
    <w:rsid w:val="2BC40014"/>
    <w:rsid w:val="2BC51B34"/>
    <w:rsid w:val="2BDE3F9A"/>
    <w:rsid w:val="2BE07D12"/>
    <w:rsid w:val="2BF95140"/>
    <w:rsid w:val="2C063C1D"/>
    <w:rsid w:val="2C0B194E"/>
    <w:rsid w:val="2C1A4F62"/>
    <w:rsid w:val="2C3447BE"/>
    <w:rsid w:val="2C3C07B5"/>
    <w:rsid w:val="2C3D3C75"/>
    <w:rsid w:val="2C4B420E"/>
    <w:rsid w:val="2C56006A"/>
    <w:rsid w:val="2C5F50DB"/>
    <w:rsid w:val="2C660165"/>
    <w:rsid w:val="2C6619D7"/>
    <w:rsid w:val="2C6A0BA3"/>
    <w:rsid w:val="2C6E17C2"/>
    <w:rsid w:val="2C8A76F4"/>
    <w:rsid w:val="2C931BC6"/>
    <w:rsid w:val="2CA45E14"/>
    <w:rsid w:val="2CB43679"/>
    <w:rsid w:val="2CB62CA6"/>
    <w:rsid w:val="2CD40261"/>
    <w:rsid w:val="2CEE34EF"/>
    <w:rsid w:val="2CF605F7"/>
    <w:rsid w:val="2D016FE9"/>
    <w:rsid w:val="2D14362B"/>
    <w:rsid w:val="2D2E304F"/>
    <w:rsid w:val="2D3C07FE"/>
    <w:rsid w:val="2D5756FC"/>
    <w:rsid w:val="2D5D5591"/>
    <w:rsid w:val="2D74743A"/>
    <w:rsid w:val="2D7C11D4"/>
    <w:rsid w:val="2D7F4766"/>
    <w:rsid w:val="2D8D3A62"/>
    <w:rsid w:val="2DAF3E40"/>
    <w:rsid w:val="2DBE7F60"/>
    <w:rsid w:val="2DF6381D"/>
    <w:rsid w:val="2DF6788C"/>
    <w:rsid w:val="2E0D1588"/>
    <w:rsid w:val="2E3944B7"/>
    <w:rsid w:val="2E4749F8"/>
    <w:rsid w:val="2E4C1B78"/>
    <w:rsid w:val="2E73313B"/>
    <w:rsid w:val="2E866E5E"/>
    <w:rsid w:val="2E9077CD"/>
    <w:rsid w:val="2EA916B2"/>
    <w:rsid w:val="2EB46A04"/>
    <w:rsid w:val="2EB84F76"/>
    <w:rsid w:val="2EC62DA5"/>
    <w:rsid w:val="2ECB7077"/>
    <w:rsid w:val="2EED318E"/>
    <w:rsid w:val="2EFE3F3B"/>
    <w:rsid w:val="2F0F1794"/>
    <w:rsid w:val="2F176141"/>
    <w:rsid w:val="2F1A0856"/>
    <w:rsid w:val="2F2B5B05"/>
    <w:rsid w:val="2F475C7E"/>
    <w:rsid w:val="2F486024"/>
    <w:rsid w:val="2F523B34"/>
    <w:rsid w:val="2F5E78CC"/>
    <w:rsid w:val="2F681310"/>
    <w:rsid w:val="2F6C283B"/>
    <w:rsid w:val="2F743B89"/>
    <w:rsid w:val="2F7E2877"/>
    <w:rsid w:val="2F8567D8"/>
    <w:rsid w:val="2F8B5040"/>
    <w:rsid w:val="2F9107C4"/>
    <w:rsid w:val="2F961B57"/>
    <w:rsid w:val="2FDC6A42"/>
    <w:rsid w:val="2FE65B09"/>
    <w:rsid w:val="2FFF53A8"/>
    <w:rsid w:val="30047098"/>
    <w:rsid w:val="30077F63"/>
    <w:rsid w:val="30115CE5"/>
    <w:rsid w:val="30135C1F"/>
    <w:rsid w:val="30191760"/>
    <w:rsid w:val="3028092A"/>
    <w:rsid w:val="302F54E7"/>
    <w:rsid w:val="304863A9"/>
    <w:rsid w:val="306C4DF1"/>
    <w:rsid w:val="30726790"/>
    <w:rsid w:val="30801AC4"/>
    <w:rsid w:val="30823D65"/>
    <w:rsid w:val="30831C53"/>
    <w:rsid w:val="308E438B"/>
    <w:rsid w:val="30A43A04"/>
    <w:rsid w:val="30C87FB8"/>
    <w:rsid w:val="30CB1DAF"/>
    <w:rsid w:val="30E90E2B"/>
    <w:rsid w:val="30ED02EA"/>
    <w:rsid w:val="30FF267A"/>
    <w:rsid w:val="310A2A14"/>
    <w:rsid w:val="310F59F0"/>
    <w:rsid w:val="31395BA8"/>
    <w:rsid w:val="3141666D"/>
    <w:rsid w:val="31480833"/>
    <w:rsid w:val="314B14BF"/>
    <w:rsid w:val="3158219E"/>
    <w:rsid w:val="316D537E"/>
    <w:rsid w:val="31716348"/>
    <w:rsid w:val="317355F2"/>
    <w:rsid w:val="3185517F"/>
    <w:rsid w:val="3185793C"/>
    <w:rsid w:val="319475D5"/>
    <w:rsid w:val="31975317"/>
    <w:rsid w:val="31A87524"/>
    <w:rsid w:val="31B06C89"/>
    <w:rsid w:val="31B91778"/>
    <w:rsid w:val="31C2569E"/>
    <w:rsid w:val="31C96BD0"/>
    <w:rsid w:val="31D04385"/>
    <w:rsid w:val="31D9377A"/>
    <w:rsid w:val="31E15891"/>
    <w:rsid w:val="31F043F4"/>
    <w:rsid w:val="32170EE1"/>
    <w:rsid w:val="325066A8"/>
    <w:rsid w:val="32563FE3"/>
    <w:rsid w:val="325D3410"/>
    <w:rsid w:val="3260226B"/>
    <w:rsid w:val="327652E9"/>
    <w:rsid w:val="327A5FF1"/>
    <w:rsid w:val="32A55CC0"/>
    <w:rsid w:val="32A937D2"/>
    <w:rsid w:val="32C95971"/>
    <w:rsid w:val="32CF5928"/>
    <w:rsid w:val="32E41009"/>
    <w:rsid w:val="32E9078F"/>
    <w:rsid w:val="32ED34FF"/>
    <w:rsid w:val="330856D0"/>
    <w:rsid w:val="33226E62"/>
    <w:rsid w:val="33316646"/>
    <w:rsid w:val="333A06E2"/>
    <w:rsid w:val="33462B8C"/>
    <w:rsid w:val="33491C13"/>
    <w:rsid w:val="335E45B2"/>
    <w:rsid w:val="33680D19"/>
    <w:rsid w:val="33691E57"/>
    <w:rsid w:val="336E025D"/>
    <w:rsid w:val="33735D99"/>
    <w:rsid w:val="33736E76"/>
    <w:rsid w:val="337570A4"/>
    <w:rsid w:val="33833CFC"/>
    <w:rsid w:val="33A269EC"/>
    <w:rsid w:val="33A856B1"/>
    <w:rsid w:val="33A930DF"/>
    <w:rsid w:val="33AB2922"/>
    <w:rsid w:val="33B73314"/>
    <w:rsid w:val="33C50B9E"/>
    <w:rsid w:val="33D30EC6"/>
    <w:rsid w:val="33D867E1"/>
    <w:rsid w:val="33D976B3"/>
    <w:rsid w:val="33DB2EFB"/>
    <w:rsid w:val="33DC6CF8"/>
    <w:rsid w:val="33EE36D1"/>
    <w:rsid w:val="33F54490"/>
    <w:rsid w:val="33F85833"/>
    <w:rsid w:val="33F94458"/>
    <w:rsid w:val="340B1EAD"/>
    <w:rsid w:val="34111989"/>
    <w:rsid w:val="341266A4"/>
    <w:rsid w:val="3429350C"/>
    <w:rsid w:val="343C76C2"/>
    <w:rsid w:val="343D0166"/>
    <w:rsid w:val="343D6C24"/>
    <w:rsid w:val="345873A9"/>
    <w:rsid w:val="347C5D20"/>
    <w:rsid w:val="348C4EDB"/>
    <w:rsid w:val="34997F68"/>
    <w:rsid w:val="34AF7CC9"/>
    <w:rsid w:val="34B14942"/>
    <w:rsid w:val="34E526B4"/>
    <w:rsid w:val="34F03DC0"/>
    <w:rsid w:val="34FE7262"/>
    <w:rsid w:val="352407FC"/>
    <w:rsid w:val="352612DF"/>
    <w:rsid w:val="35284201"/>
    <w:rsid w:val="35322B1F"/>
    <w:rsid w:val="3535498A"/>
    <w:rsid w:val="35471E10"/>
    <w:rsid w:val="354F3660"/>
    <w:rsid w:val="355004C3"/>
    <w:rsid w:val="3556146D"/>
    <w:rsid w:val="355724F0"/>
    <w:rsid w:val="356B5D07"/>
    <w:rsid w:val="35810326"/>
    <w:rsid w:val="358C5E8C"/>
    <w:rsid w:val="358D7C9B"/>
    <w:rsid w:val="358E2186"/>
    <w:rsid w:val="35AA4C6A"/>
    <w:rsid w:val="35B90B5D"/>
    <w:rsid w:val="35C81F43"/>
    <w:rsid w:val="35CC1726"/>
    <w:rsid w:val="35DE239E"/>
    <w:rsid w:val="35E06512"/>
    <w:rsid w:val="35E33F92"/>
    <w:rsid w:val="36010FB1"/>
    <w:rsid w:val="360212D1"/>
    <w:rsid w:val="360C7B72"/>
    <w:rsid w:val="360E2480"/>
    <w:rsid w:val="361327DB"/>
    <w:rsid w:val="361F1CFE"/>
    <w:rsid w:val="36371201"/>
    <w:rsid w:val="363720E3"/>
    <w:rsid w:val="3639711B"/>
    <w:rsid w:val="363E765D"/>
    <w:rsid w:val="36592830"/>
    <w:rsid w:val="36632356"/>
    <w:rsid w:val="367409D2"/>
    <w:rsid w:val="367B56C5"/>
    <w:rsid w:val="367C5173"/>
    <w:rsid w:val="36915D46"/>
    <w:rsid w:val="36B81FB7"/>
    <w:rsid w:val="36CA31B0"/>
    <w:rsid w:val="36D20797"/>
    <w:rsid w:val="36E65B3A"/>
    <w:rsid w:val="36FF3742"/>
    <w:rsid w:val="370346A6"/>
    <w:rsid w:val="37113475"/>
    <w:rsid w:val="37252E94"/>
    <w:rsid w:val="37296474"/>
    <w:rsid w:val="373227C5"/>
    <w:rsid w:val="37405833"/>
    <w:rsid w:val="374101FF"/>
    <w:rsid w:val="375869AC"/>
    <w:rsid w:val="375B253A"/>
    <w:rsid w:val="37666B6B"/>
    <w:rsid w:val="37675674"/>
    <w:rsid w:val="376B1978"/>
    <w:rsid w:val="37940CA8"/>
    <w:rsid w:val="37D848CF"/>
    <w:rsid w:val="37DA41AF"/>
    <w:rsid w:val="37DB157C"/>
    <w:rsid w:val="37DB3C7D"/>
    <w:rsid w:val="37EE7D30"/>
    <w:rsid w:val="37F62976"/>
    <w:rsid w:val="37F77F19"/>
    <w:rsid w:val="38042FDA"/>
    <w:rsid w:val="381C3F20"/>
    <w:rsid w:val="3822692C"/>
    <w:rsid w:val="38343F2A"/>
    <w:rsid w:val="38490F9C"/>
    <w:rsid w:val="384C1631"/>
    <w:rsid w:val="38542754"/>
    <w:rsid w:val="386C03A0"/>
    <w:rsid w:val="386D6DD1"/>
    <w:rsid w:val="38850AD8"/>
    <w:rsid w:val="389D1465"/>
    <w:rsid w:val="38B10FD7"/>
    <w:rsid w:val="38B2326B"/>
    <w:rsid w:val="38BD498D"/>
    <w:rsid w:val="38D81B11"/>
    <w:rsid w:val="38ED2653"/>
    <w:rsid w:val="38FC71A8"/>
    <w:rsid w:val="38FD1F03"/>
    <w:rsid w:val="39020983"/>
    <w:rsid w:val="39037F6C"/>
    <w:rsid w:val="39214610"/>
    <w:rsid w:val="39317DFF"/>
    <w:rsid w:val="39464964"/>
    <w:rsid w:val="395224D9"/>
    <w:rsid w:val="39535FC7"/>
    <w:rsid w:val="395601FC"/>
    <w:rsid w:val="397B4E62"/>
    <w:rsid w:val="39972B1A"/>
    <w:rsid w:val="399A1410"/>
    <w:rsid w:val="39C47D94"/>
    <w:rsid w:val="39CD1539"/>
    <w:rsid w:val="39CD5D32"/>
    <w:rsid w:val="39DA1DFA"/>
    <w:rsid w:val="39DC71EB"/>
    <w:rsid w:val="39DD5D2E"/>
    <w:rsid w:val="39E01A69"/>
    <w:rsid w:val="3A045F91"/>
    <w:rsid w:val="3A076679"/>
    <w:rsid w:val="3A0A0953"/>
    <w:rsid w:val="3A211C22"/>
    <w:rsid w:val="3A2C4127"/>
    <w:rsid w:val="3A4F0AA8"/>
    <w:rsid w:val="3A543DA5"/>
    <w:rsid w:val="3A5576B6"/>
    <w:rsid w:val="3A682780"/>
    <w:rsid w:val="3A697EB7"/>
    <w:rsid w:val="3A7F0311"/>
    <w:rsid w:val="3A8538B6"/>
    <w:rsid w:val="3A884EF1"/>
    <w:rsid w:val="3A8C5141"/>
    <w:rsid w:val="3AA52853"/>
    <w:rsid w:val="3AA648FE"/>
    <w:rsid w:val="3AAA7D3D"/>
    <w:rsid w:val="3AD117FB"/>
    <w:rsid w:val="3AD4138A"/>
    <w:rsid w:val="3AD72904"/>
    <w:rsid w:val="3AD75A09"/>
    <w:rsid w:val="3ADC5AFD"/>
    <w:rsid w:val="3AE17BBC"/>
    <w:rsid w:val="3B007A89"/>
    <w:rsid w:val="3B0F5ABD"/>
    <w:rsid w:val="3B2F4F75"/>
    <w:rsid w:val="3B31477D"/>
    <w:rsid w:val="3B315914"/>
    <w:rsid w:val="3B422101"/>
    <w:rsid w:val="3B4715CB"/>
    <w:rsid w:val="3B5008D7"/>
    <w:rsid w:val="3B7F15E2"/>
    <w:rsid w:val="3B8536A6"/>
    <w:rsid w:val="3B9F0C51"/>
    <w:rsid w:val="3BA00572"/>
    <w:rsid w:val="3BB1021B"/>
    <w:rsid w:val="3BE15B0C"/>
    <w:rsid w:val="3BF72A83"/>
    <w:rsid w:val="3C135790"/>
    <w:rsid w:val="3C1752F7"/>
    <w:rsid w:val="3C193171"/>
    <w:rsid w:val="3C1E3214"/>
    <w:rsid w:val="3C2528C6"/>
    <w:rsid w:val="3C371BD0"/>
    <w:rsid w:val="3C4F1FEA"/>
    <w:rsid w:val="3C5B6745"/>
    <w:rsid w:val="3C683B38"/>
    <w:rsid w:val="3C686571"/>
    <w:rsid w:val="3C6F5E3B"/>
    <w:rsid w:val="3C83525B"/>
    <w:rsid w:val="3C87375A"/>
    <w:rsid w:val="3C88531F"/>
    <w:rsid w:val="3C8D7A42"/>
    <w:rsid w:val="3C8E189D"/>
    <w:rsid w:val="3CA22EFE"/>
    <w:rsid w:val="3CB8043D"/>
    <w:rsid w:val="3CB94BCA"/>
    <w:rsid w:val="3CC35212"/>
    <w:rsid w:val="3CC50225"/>
    <w:rsid w:val="3CD967E3"/>
    <w:rsid w:val="3CDE231E"/>
    <w:rsid w:val="3D245A63"/>
    <w:rsid w:val="3D36346C"/>
    <w:rsid w:val="3D4269DA"/>
    <w:rsid w:val="3D430EA3"/>
    <w:rsid w:val="3D47560D"/>
    <w:rsid w:val="3D523BCD"/>
    <w:rsid w:val="3D645169"/>
    <w:rsid w:val="3D6933DE"/>
    <w:rsid w:val="3D7C3859"/>
    <w:rsid w:val="3D80607F"/>
    <w:rsid w:val="3D8F2120"/>
    <w:rsid w:val="3D8F30A0"/>
    <w:rsid w:val="3D990E61"/>
    <w:rsid w:val="3DA327E5"/>
    <w:rsid w:val="3DB01C7C"/>
    <w:rsid w:val="3DB334D8"/>
    <w:rsid w:val="3DBA1ADA"/>
    <w:rsid w:val="3DC355A6"/>
    <w:rsid w:val="3DC42D6E"/>
    <w:rsid w:val="3DD009EA"/>
    <w:rsid w:val="3DD122A2"/>
    <w:rsid w:val="3DD64752"/>
    <w:rsid w:val="3DD80DF7"/>
    <w:rsid w:val="3DE17E96"/>
    <w:rsid w:val="3DE26317"/>
    <w:rsid w:val="3DEB1B40"/>
    <w:rsid w:val="3DFC4E7F"/>
    <w:rsid w:val="3E2D1C0D"/>
    <w:rsid w:val="3E352B5B"/>
    <w:rsid w:val="3E3A2755"/>
    <w:rsid w:val="3E463101"/>
    <w:rsid w:val="3E5717D0"/>
    <w:rsid w:val="3E5E04B0"/>
    <w:rsid w:val="3E5F4189"/>
    <w:rsid w:val="3E6C1A3F"/>
    <w:rsid w:val="3E734A16"/>
    <w:rsid w:val="3E752133"/>
    <w:rsid w:val="3E7A5DA4"/>
    <w:rsid w:val="3E953235"/>
    <w:rsid w:val="3EAA3B18"/>
    <w:rsid w:val="3EAA555F"/>
    <w:rsid w:val="3EBD0BAE"/>
    <w:rsid w:val="3EC3774B"/>
    <w:rsid w:val="3ECC3927"/>
    <w:rsid w:val="3ECD2095"/>
    <w:rsid w:val="3EEF22EE"/>
    <w:rsid w:val="3EF02AD3"/>
    <w:rsid w:val="3F024C1A"/>
    <w:rsid w:val="3F0D0FA0"/>
    <w:rsid w:val="3F21052E"/>
    <w:rsid w:val="3F330C34"/>
    <w:rsid w:val="3F3917F4"/>
    <w:rsid w:val="3F397A0D"/>
    <w:rsid w:val="3F4A39C9"/>
    <w:rsid w:val="3F625E8E"/>
    <w:rsid w:val="3F6A673B"/>
    <w:rsid w:val="3F8C2A74"/>
    <w:rsid w:val="3FA70307"/>
    <w:rsid w:val="3FA7458E"/>
    <w:rsid w:val="3FB22390"/>
    <w:rsid w:val="3FCF1529"/>
    <w:rsid w:val="3FDD2A57"/>
    <w:rsid w:val="3FE37E33"/>
    <w:rsid w:val="3FF027C2"/>
    <w:rsid w:val="3FF55C7D"/>
    <w:rsid w:val="3FF676AC"/>
    <w:rsid w:val="400E03CE"/>
    <w:rsid w:val="401171AD"/>
    <w:rsid w:val="40225AF1"/>
    <w:rsid w:val="403D5148"/>
    <w:rsid w:val="403D6B94"/>
    <w:rsid w:val="40507C98"/>
    <w:rsid w:val="40580367"/>
    <w:rsid w:val="4061657E"/>
    <w:rsid w:val="40767673"/>
    <w:rsid w:val="407707ED"/>
    <w:rsid w:val="40892318"/>
    <w:rsid w:val="408E0789"/>
    <w:rsid w:val="40A76FA9"/>
    <w:rsid w:val="40AC084A"/>
    <w:rsid w:val="40D05FDB"/>
    <w:rsid w:val="40DB515E"/>
    <w:rsid w:val="40E30197"/>
    <w:rsid w:val="40E63D94"/>
    <w:rsid w:val="40EA1367"/>
    <w:rsid w:val="40EB151F"/>
    <w:rsid w:val="40ED4F53"/>
    <w:rsid w:val="40F25A91"/>
    <w:rsid w:val="411C387B"/>
    <w:rsid w:val="41292B74"/>
    <w:rsid w:val="41406E31"/>
    <w:rsid w:val="414E3836"/>
    <w:rsid w:val="41592854"/>
    <w:rsid w:val="416E516B"/>
    <w:rsid w:val="418812BB"/>
    <w:rsid w:val="418D4040"/>
    <w:rsid w:val="419E7FFC"/>
    <w:rsid w:val="419F3079"/>
    <w:rsid w:val="41AE3A67"/>
    <w:rsid w:val="41C95125"/>
    <w:rsid w:val="41EA02ED"/>
    <w:rsid w:val="42075BA1"/>
    <w:rsid w:val="4215282E"/>
    <w:rsid w:val="42225E0B"/>
    <w:rsid w:val="42383FB6"/>
    <w:rsid w:val="423D7815"/>
    <w:rsid w:val="424F30C2"/>
    <w:rsid w:val="425E14DB"/>
    <w:rsid w:val="42621029"/>
    <w:rsid w:val="426B4382"/>
    <w:rsid w:val="42725710"/>
    <w:rsid w:val="427358D4"/>
    <w:rsid w:val="42736D87"/>
    <w:rsid w:val="427E086F"/>
    <w:rsid w:val="42826F4F"/>
    <w:rsid w:val="428B0580"/>
    <w:rsid w:val="429A4E70"/>
    <w:rsid w:val="429E14C4"/>
    <w:rsid w:val="42A26186"/>
    <w:rsid w:val="42A94EAA"/>
    <w:rsid w:val="42BA0E65"/>
    <w:rsid w:val="42C13D5C"/>
    <w:rsid w:val="42DD74CF"/>
    <w:rsid w:val="42DF3579"/>
    <w:rsid w:val="42E264C2"/>
    <w:rsid w:val="42E85CD3"/>
    <w:rsid w:val="42F54D63"/>
    <w:rsid w:val="43011E27"/>
    <w:rsid w:val="430D368B"/>
    <w:rsid w:val="430F20A0"/>
    <w:rsid w:val="43135F0F"/>
    <w:rsid w:val="431B6CC7"/>
    <w:rsid w:val="43225F65"/>
    <w:rsid w:val="435720D9"/>
    <w:rsid w:val="43615785"/>
    <w:rsid w:val="43732880"/>
    <w:rsid w:val="43865952"/>
    <w:rsid w:val="438F0BB0"/>
    <w:rsid w:val="43993170"/>
    <w:rsid w:val="43BF04EA"/>
    <w:rsid w:val="43C05A1E"/>
    <w:rsid w:val="43CF4932"/>
    <w:rsid w:val="43D22CDA"/>
    <w:rsid w:val="43D354DC"/>
    <w:rsid w:val="4405353A"/>
    <w:rsid w:val="44063CF3"/>
    <w:rsid w:val="44072973"/>
    <w:rsid w:val="44095C00"/>
    <w:rsid w:val="44117E2D"/>
    <w:rsid w:val="441822E7"/>
    <w:rsid w:val="442F13DF"/>
    <w:rsid w:val="44426345"/>
    <w:rsid w:val="444B2816"/>
    <w:rsid w:val="445279AA"/>
    <w:rsid w:val="4453331F"/>
    <w:rsid w:val="445F3A86"/>
    <w:rsid w:val="4478636B"/>
    <w:rsid w:val="447A0DB3"/>
    <w:rsid w:val="447D2B53"/>
    <w:rsid w:val="4481712B"/>
    <w:rsid w:val="44901E7E"/>
    <w:rsid w:val="449F54A7"/>
    <w:rsid w:val="44A1052F"/>
    <w:rsid w:val="44C93406"/>
    <w:rsid w:val="44D74994"/>
    <w:rsid w:val="44DD0E3B"/>
    <w:rsid w:val="44E67CEF"/>
    <w:rsid w:val="44F62875"/>
    <w:rsid w:val="451730A2"/>
    <w:rsid w:val="451955A3"/>
    <w:rsid w:val="45205199"/>
    <w:rsid w:val="45260B70"/>
    <w:rsid w:val="45357C2D"/>
    <w:rsid w:val="453A003B"/>
    <w:rsid w:val="45467C1A"/>
    <w:rsid w:val="45523E0A"/>
    <w:rsid w:val="45603F46"/>
    <w:rsid w:val="45784EE5"/>
    <w:rsid w:val="457C33A8"/>
    <w:rsid w:val="458804FE"/>
    <w:rsid w:val="458D57CB"/>
    <w:rsid w:val="4595726A"/>
    <w:rsid w:val="45C67177"/>
    <w:rsid w:val="45D048BE"/>
    <w:rsid w:val="45DE626C"/>
    <w:rsid w:val="45EB660D"/>
    <w:rsid w:val="45F13477"/>
    <w:rsid w:val="45FD7B3D"/>
    <w:rsid w:val="460A10C2"/>
    <w:rsid w:val="46220C85"/>
    <w:rsid w:val="46230254"/>
    <w:rsid w:val="46244F73"/>
    <w:rsid w:val="46287B26"/>
    <w:rsid w:val="462A00B0"/>
    <w:rsid w:val="462D24EF"/>
    <w:rsid w:val="46534E0B"/>
    <w:rsid w:val="4670640B"/>
    <w:rsid w:val="46753897"/>
    <w:rsid w:val="467A71EB"/>
    <w:rsid w:val="46867477"/>
    <w:rsid w:val="468A02AD"/>
    <w:rsid w:val="468B3DD1"/>
    <w:rsid w:val="469043B7"/>
    <w:rsid w:val="46BF4C9C"/>
    <w:rsid w:val="46C936C8"/>
    <w:rsid w:val="46CB1893"/>
    <w:rsid w:val="46D87DE5"/>
    <w:rsid w:val="46E556A4"/>
    <w:rsid w:val="46E97F6B"/>
    <w:rsid w:val="46EA25E1"/>
    <w:rsid w:val="46EB1077"/>
    <w:rsid w:val="470C2558"/>
    <w:rsid w:val="472127B7"/>
    <w:rsid w:val="472165B7"/>
    <w:rsid w:val="47277064"/>
    <w:rsid w:val="47323C17"/>
    <w:rsid w:val="4743767B"/>
    <w:rsid w:val="474C305D"/>
    <w:rsid w:val="474E29C1"/>
    <w:rsid w:val="475569C5"/>
    <w:rsid w:val="475A49C5"/>
    <w:rsid w:val="475E44B5"/>
    <w:rsid w:val="476121D8"/>
    <w:rsid w:val="476A063C"/>
    <w:rsid w:val="477C748E"/>
    <w:rsid w:val="478A7058"/>
    <w:rsid w:val="47941208"/>
    <w:rsid w:val="47A101B2"/>
    <w:rsid w:val="47BF2852"/>
    <w:rsid w:val="47BF386C"/>
    <w:rsid w:val="47C3256A"/>
    <w:rsid w:val="47C95C6C"/>
    <w:rsid w:val="47EC7022"/>
    <w:rsid w:val="47FC7940"/>
    <w:rsid w:val="48030B33"/>
    <w:rsid w:val="48046015"/>
    <w:rsid w:val="4819316F"/>
    <w:rsid w:val="482F5E51"/>
    <w:rsid w:val="483F125D"/>
    <w:rsid w:val="48580B32"/>
    <w:rsid w:val="485B43A9"/>
    <w:rsid w:val="48635024"/>
    <w:rsid w:val="487B675C"/>
    <w:rsid w:val="48A95C04"/>
    <w:rsid w:val="48B22238"/>
    <w:rsid w:val="48B33076"/>
    <w:rsid w:val="48C4330A"/>
    <w:rsid w:val="48D55EB3"/>
    <w:rsid w:val="48DA0701"/>
    <w:rsid w:val="48DF324A"/>
    <w:rsid w:val="48E052EC"/>
    <w:rsid w:val="48E65AEE"/>
    <w:rsid w:val="48F80CE7"/>
    <w:rsid w:val="49096FCD"/>
    <w:rsid w:val="491D7C08"/>
    <w:rsid w:val="494625B6"/>
    <w:rsid w:val="49507E2D"/>
    <w:rsid w:val="49512BB1"/>
    <w:rsid w:val="495E0009"/>
    <w:rsid w:val="49641F5D"/>
    <w:rsid w:val="49666B6B"/>
    <w:rsid w:val="496F2CCC"/>
    <w:rsid w:val="498F64FC"/>
    <w:rsid w:val="49AD1724"/>
    <w:rsid w:val="49BE7E39"/>
    <w:rsid w:val="49C40005"/>
    <w:rsid w:val="49C65419"/>
    <w:rsid w:val="49D04BAB"/>
    <w:rsid w:val="49EA0282"/>
    <w:rsid w:val="49EA17C4"/>
    <w:rsid w:val="49EF440A"/>
    <w:rsid w:val="4A1A2F12"/>
    <w:rsid w:val="4A2C7C77"/>
    <w:rsid w:val="4A321C6F"/>
    <w:rsid w:val="4A366D8C"/>
    <w:rsid w:val="4A375709"/>
    <w:rsid w:val="4A475BFC"/>
    <w:rsid w:val="4A4E1094"/>
    <w:rsid w:val="4A561717"/>
    <w:rsid w:val="4A606796"/>
    <w:rsid w:val="4A717D8F"/>
    <w:rsid w:val="4A7D0F83"/>
    <w:rsid w:val="4A834A22"/>
    <w:rsid w:val="4A8815D3"/>
    <w:rsid w:val="4A9454F9"/>
    <w:rsid w:val="4A972DF7"/>
    <w:rsid w:val="4A992274"/>
    <w:rsid w:val="4AA77F21"/>
    <w:rsid w:val="4AAA2276"/>
    <w:rsid w:val="4AB64534"/>
    <w:rsid w:val="4ABD14F2"/>
    <w:rsid w:val="4AC66642"/>
    <w:rsid w:val="4AC87549"/>
    <w:rsid w:val="4AD37353"/>
    <w:rsid w:val="4ADC6651"/>
    <w:rsid w:val="4AE2340C"/>
    <w:rsid w:val="4AE72A13"/>
    <w:rsid w:val="4AFF6999"/>
    <w:rsid w:val="4B0E61F2"/>
    <w:rsid w:val="4B21257E"/>
    <w:rsid w:val="4B290FE3"/>
    <w:rsid w:val="4B322207"/>
    <w:rsid w:val="4B3B5793"/>
    <w:rsid w:val="4B58050B"/>
    <w:rsid w:val="4B5A25F7"/>
    <w:rsid w:val="4B6A0768"/>
    <w:rsid w:val="4B6B0CBD"/>
    <w:rsid w:val="4B705719"/>
    <w:rsid w:val="4B7B47F9"/>
    <w:rsid w:val="4BA563FE"/>
    <w:rsid w:val="4BB77663"/>
    <w:rsid w:val="4BC54DE5"/>
    <w:rsid w:val="4BCB7306"/>
    <w:rsid w:val="4BD52968"/>
    <w:rsid w:val="4BD91D02"/>
    <w:rsid w:val="4BE2600E"/>
    <w:rsid w:val="4BE57820"/>
    <w:rsid w:val="4BF657A1"/>
    <w:rsid w:val="4BFB7B74"/>
    <w:rsid w:val="4C0457A1"/>
    <w:rsid w:val="4C3F2C78"/>
    <w:rsid w:val="4C42244E"/>
    <w:rsid w:val="4C437DCE"/>
    <w:rsid w:val="4C537206"/>
    <w:rsid w:val="4C6D3DA8"/>
    <w:rsid w:val="4C727CFA"/>
    <w:rsid w:val="4C88081B"/>
    <w:rsid w:val="4C8872A2"/>
    <w:rsid w:val="4C9C19F3"/>
    <w:rsid w:val="4CA47183"/>
    <w:rsid w:val="4CB7606E"/>
    <w:rsid w:val="4CF745DE"/>
    <w:rsid w:val="4CFC57E0"/>
    <w:rsid w:val="4D087B01"/>
    <w:rsid w:val="4D0B58BC"/>
    <w:rsid w:val="4D0C050F"/>
    <w:rsid w:val="4D0C2AD5"/>
    <w:rsid w:val="4D2059FA"/>
    <w:rsid w:val="4D2E3574"/>
    <w:rsid w:val="4D451B18"/>
    <w:rsid w:val="4D4D5AFE"/>
    <w:rsid w:val="4D502AF2"/>
    <w:rsid w:val="4D5C07F9"/>
    <w:rsid w:val="4D755736"/>
    <w:rsid w:val="4DAC0A3B"/>
    <w:rsid w:val="4DB92102"/>
    <w:rsid w:val="4DBA3E20"/>
    <w:rsid w:val="4DBC5B64"/>
    <w:rsid w:val="4DC679DB"/>
    <w:rsid w:val="4DE61D12"/>
    <w:rsid w:val="4DF1146E"/>
    <w:rsid w:val="4DF82017"/>
    <w:rsid w:val="4E0E661C"/>
    <w:rsid w:val="4E1E3790"/>
    <w:rsid w:val="4E2E44B5"/>
    <w:rsid w:val="4E4C57ED"/>
    <w:rsid w:val="4E5505A6"/>
    <w:rsid w:val="4E820BD8"/>
    <w:rsid w:val="4E874C8C"/>
    <w:rsid w:val="4E8D729C"/>
    <w:rsid w:val="4E8E1C0C"/>
    <w:rsid w:val="4E9609D8"/>
    <w:rsid w:val="4E98004C"/>
    <w:rsid w:val="4EA5208F"/>
    <w:rsid w:val="4EAE617F"/>
    <w:rsid w:val="4EBD702F"/>
    <w:rsid w:val="4EC310A1"/>
    <w:rsid w:val="4EC818B0"/>
    <w:rsid w:val="4ECB59F9"/>
    <w:rsid w:val="4ECE1CAC"/>
    <w:rsid w:val="4EE414BB"/>
    <w:rsid w:val="4EE87B84"/>
    <w:rsid w:val="4EFF65C5"/>
    <w:rsid w:val="4F0052D1"/>
    <w:rsid w:val="4F014784"/>
    <w:rsid w:val="4F0431E6"/>
    <w:rsid w:val="4F1B712F"/>
    <w:rsid w:val="4F1C605F"/>
    <w:rsid w:val="4F254824"/>
    <w:rsid w:val="4F2658BE"/>
    <w:rsid w:val="4F4736A7"/>
    <w:rsid w:val="4F7914EF"/>
    <w:rsid w:val="4F9174FD"/>
    <w:rsid w:val="4F9402D2"/>
    <w:rsid w:val="4FB10142"/>
    <w:rsid w:val="4FB82BD0"/>
    <w:rsid w:val="4FC643B6"/>
    <w:rsid w:val="4FD1578E"/>
    <w:rsid w:val="4FE10E76"/>
    <w:rsid w:val="4FEE2189"/>
    <w:rsid w:val="4FF71C3D"/>
    <w:rsid w:val="50016856"/>
    <w:rsid w:val="5008518B"/>
    <w:rsid w:val="500B32A2"/>
    <w:rsid w:val="501A4DE6"/>
    <w:rsid w:val="502B6647"/>
    <w:rsid w:val="502B6EFE"/>
    <w:rsid w:val="50324E90"/>
    <w:rsid w:val="504C1B11"/>
    <w:rsid w:val="504E68CB"/>
    <w:rsid w:val="505F48A5"/>
    <w:rsid w:val="506472D4"/>
    <w:rsid w:val="50666C7A"/>
    <w:rsid w:val="507460A4"/>
    <w:rsid w:val="5094445D"/>
    <w:rsid w:val="509C0D4E"/>
    <w:rsid w:val="50A23A1E"/>
    <w:rsid w:val="50AC44E3"/>
    <w:rsid w:val="50B57EA9"/>
    <w:rsid w:val="50BC2B26"/>
    <w:rsid w:val="50BE1984"/>
    <w:rsid w:val="50D141C6"/>
    <w:rsid w:val="50D94FDD"/>
    <w:rsid w:val="50F115EA"/>
    <w:rsid w:val="50F72C9C"/>
    <w:rsid w:val="50FC0DB6"/>
    <w:rsid w:val="511107EA"/>
    <w:rsid w:val="511F2007"/>
    <w:rsid w:val="51271E2F"/>
    <w:rsid w:val="51342CAA"/>
    <w:rsid w:val="51366F32"/>
    <w:rsid w:val="51406A38"/>
    <w:rsid w:val="514B4E4E"/>
    <w:rsid w:val="516578E1"/>
    <w:rsid w:val="517174DB"/>
    <w:rsid w:val="518049FF"/>
    <w:rsid w:val="51932FAD"/>
    <w:rsid w:val="51A06E66"/>
    <w:rsid w:val="51AF590D"/>
    <w:rsid w:val="51B475E9"/>
    <w:rsid w:val="51C05FF6"/>
    <w:rsid w:val="51D135DE"/>
    <w:rsid w:val="51DF4444"/>
    <w:rsid w:val="51F65295"/>
    <w:rsid w:val="51F872B4"/>
    <w:rsid w:val="51FD3DB6"/>
    <w:rsid w:val="52097713"/>
    <w:rsid w:val="520C3BB6"/>
    <w:rsid w:val="52120D54"/>
    <w:rsid w:val="52252174"/>
    <w:rsid w:val="52295AE6"/>
    <w:rsid w:val="522D0E7F"/>
    <w:rsid w:val="523E4D62"/>
    <w:rsid w:val="5243507E"/>
    <w:rsid w:val="525402A0"/>
    <w:rsid w:val="52554706"/>
    <w:rsid w:val="525F5585"/>
    <w:rsid w:val="528D41E4"/>
    <w:rsid w:val="52BF5C92"/>
    <w:rsid w:val="52C2167A"/>
    <w:rsid w:val="52C7794C"/>
    <w:rsid w:val="52D279CD"/>
    <w:rsid w:val="52D32ADF"/>
    <w:rsid w:val="52E45ACB"/>
    <w:rsid w:val="52E71802"/>
    <w:rsid w:val="52F47AFB"/>
    <w:rsid w:val="53071B37"/>
    <w:rsid w:val="530A5973"/>
    <w:rsid w:val="531169F3"/>
    <w:rsid w:val="531348FB"/>
    <w:rsid w:val="53275D3D"/>
    <w:rsid w:val="533354CF"/>
    <w:rsid w:val="533407C0"/>
    <w:rsid w:val="53346B96"/>
    <w:rsid w:val="535D5DC8"/>
    <w:rsid w:val="537A3167"/>
    <w:rsid w:val="537D2360"/>
    <w:rsid w:val="53811E50"/>
    <w:rsid w:val="53B22465"/>
    <w:rsid w:val="53B72F65"/>
    <w:rsid w:val="53BE3989"/>
    <w:rsid w:val="53D83751"/>
    <w:rsid w:val="53D85151"/>
    <w:rsid w:val="53E844A9"/>
    <w:rsid w:val="53FD2AC2"/>
    <w:rsid w:val="5409404E"/>
    <w:rsid w:val="54134B75"/>
    <w:rsid w:val="54164746"/>
    <w:rsid w:val="541F238F"/>
    <w:rsid w:val="542E2ADC"/>
    <w:rsid w:val="543341B9"/>
    <w:rsid w:val="543415ED"/>
    <w:rsid w:val="5438608E"/>
    <w:rsid w:val="544B7F7E"/>
    <w:rsid w:val="54501D22"/>
    <w:rsid w:val="546146EB"/>
    <w:rsid w:val="54680D66"/>
    <w:rsid w:val="54685AA1"/>
    <w:rsid w:val="547D06FB"/>
    <w:rsid w:val="547D14B1"/>
    <w:rsid w:val="54857DDB"/>
    <w:rsid w:val="548C678B"/>
    <w:rsid w:val="54905199"/>
    <w:rsid w:val="54914216"/>
    <w:rsid w:val="549273A9"/>
    <w:rsid w:val="549405C7"/>
    <w:rsid w:val="549D6C55"/>
    <w:rsid w:val="54CA07F6"/>
    <w:rsid w:val="54E979F3"/>
    <w:rsid w:val="54EF0774"/>
    <w:rsid w:val="54F2448F"/>
    <w:rsid w:val="54FE2E33"/>
    <w:rsid w:val="550B2DC8"/>
    <w:rsid w:val="5540169E"/>
    <w:rsid w:val="55466588"/>
    <w:rsid w:val="5547793A"/>
    <w:rsid w:val="554C32B2"/>
    <w:rsid w:val="55501E76"/>
    <w:rsid w:val="55701D69"/>
    <w:rsid w:val="55731E3E"/>
    <w:rsid w:val="557A0272"/>
    <w:rsid w:val="557E29D7"/>
    <w:rsid w:val="558F2195"/>
    <w:rsid w:val="55900035"/>
    <w:rsid w:val="55AF798B"/>
    <w:rsid w:val="55CA70E8"/>
    <w:rsid w:val="55ED4967"/>
    <w:rsid w:val="55F350C4"/>
    <w:rsid w:val="55F5056B"/>
    <w:rsid w:val="561B14C6"/>
    <w:rsid w:val="561B7A15"/>
    <w:rsid w:val="56247722"/>
    <w:rsid w:val="56342FDD"/>
    <w:rsid w:val="56467B64"/>
    <w:rsid w:val="565626F9"/>
    <w:rsid w:val="565671A2"/>
    <w:rsid w:val="56685CA8"/>
    <w:rsid w:val="56740DC7"/>
    <w:rsid w:val="56753961"/>
    <w:rsid w:val="5677558B"/>
    <w:rsid w:val="569C2904"/>
    <w:rsid w:val="56AA3219"/>
    <w:rsid w:val="56CF2574"/>
    <w:rsid w:val="56CF424D"/>
    <w:rsid w:val="56DE4C00"/>
    <w:rsid w:val="570847EE"/>
    <w:rsid w:val="573270B5"/>
    <w:rsid w:val="57331689"/>
    <w:rsid w:val="57443B56"/>
    <w:rsid w:val="57614844"/>
    <w:rsid w:val="57664CC0"/>
    <w:rsid w:val="576A00D2"/>
    <w:rsid w:val="576A530D"/>
    <w:rsid w:val="57971A40"/>
    <w:rsid w:val="579E4D2D"/>
    <w:rsid w:val="57A24175"/>
    <w:rsid w:val="57B75717"/>
    <w:rsid w:val="57C470D2"/>
    <w:rsid w:val="57C77E19"/>
    <w:rsid w:val="57CA488B"/>
    <w:rsid w:val="57DB3900"/>
    <w:rsid w:val="57DB47FB"/>
    <w:rsid w:val="580846BB"/>
    <w:rsid w:val="5816050F"/>
    <w:rsid w:val="581D5CC6"/>
    <w:rsid w:val="58205F1A"/>
    <w:rsid w:val="582468CD"/>
    <w:rsid w:val="582840C5"/>
    <w:rsid w:val="583074F9"/>
    <w:rsid w:val="583515AC"/>
    <w:rsid w:val="584B45E2"/>
    <w:rsid w:val="584C2587"/>
    <w:rsid w:val="585127AA"/>
    <w:rsid w:val="585D5314"/>
    <w:rsid w:val="58603D47"/>
    <w:rsid w:val="58743A0C"/>
    <w:rsid w:val="58BB3CCE"/>
    <w:rsid w:val="58CD3249"/>
    <w:rsid w:val="58DE0E81"/>
    <w:rsid w:val="59125866"/>
    <w:rsid w:val="5915352F"/>
    <w:rsid w:val="591B0458"/>
    <w:rsid w:val="59232E69"/>
    <w:rsid w:val="59304651"/>
    <w:rsid w:val="593E2965"/>
    <w:rsid w:val="594856C1"/>
    <w:rsid w:val="59486EBB"/>
    <w:rsid w:val="59493AFE"/>
    <w:rsid w:val="594C38F9"/>
    <w:rsid w:val="594C4A1E"/>
    <w:rsid w:val="59567838"/>
    <w:rsid w:val="59700D18"/>
    <w:rsid w:val="5970491E"/>
    <w:rsid w:val="597304CA"/>
    <w:rsid w:val="59794C92"/>
    <w:rsid w:val="597A0373"/>
    <w:rsid w:val="598803B1"/>
    <w:rsid w:val="59A5117A"/>
    <w:rsid w:val="59A937D5"/>
    <w:rsid w:val="59BA6CB3"/>
    <w:rsid w:val="59BA6CC4"/>
    <w:rsid w:val="59DB746A"/>
    <w:rsid w:val="59F2154E"/>
    <w:rsid w:val="59F9691A"/>
    <w:rsid w:val="5A012975"/>
    <w:rsid w:val="5A0233C6"/>
    <w:rsid w:val="5A097A39"/>
    <w:rsid w:val="5A112448"/>
    <w:rsid w:val="5A1E417A"/>
    <w:rsid w:val="5A266C4C"/>
    <w:rsid w:val="5A2D3B53"/>
    <w:rsid w:val="5A3B2434"/>
    <w:rsid w:val="5A6457FD"/>
    <w:rsid w:val="5A645A7F"/>
    <w:rsid w:val="5A653116"/>
    <w:rsid w:val="5A7035CD"/>
    <w:rsid w:val="5A873ECB"/>
    <w:rsid w:val="5A934A0F"/>
    <w:rsid w:val="5A957C98"/>
    <w:rsid w:val="5A9E6D6F"/>
    <w:rsid w:val="5AAC50E0"/>
    <w:rsid w:val="5AAD60EA"/>
    <w:rsid w:val="5AB61DE0"/>
    <w:rsid w:val="5ACB527F"/>
    <w:rsid w:val="5AD7761B"/>
    <w:rsid w:val="5B072DB6"/>
    <w:rsid w:val="5B19492B"/>
    <w:rsid w:val="5B233465"/>
    <w:rsid w:val="5B506B61"/>
    <w:rsid w:val="5B5F0F2E"/>
    <w:rsid w:val="5B667984"/>
    <w:rsid w:val="5B6B796C"/>
    <w:rsid w:val="5B7C0F56"/>
    <w:rsid w:val="5B9808C1"/>
    <w:rsid w:val="5BB10CB2"/>
    <w:rsid w:val="5BC16A09"/>
    <w:rsid w:val="5C012CC6"/>
    <w:rsid w:val="5C3B496D"/>
    <w:rsid w:val="5C503DE0"/>
    <w:rsid w:val="5C5435D1"/>
    <w:rsid w:val="5C5C5BA5"/>
    <w:rsid w:val="5C8005D2"/>
    <w:rsid w:val="5C8C4702"/>
    <w:rsid w:val="5C936557"/>
    <w:rsid w:val="5C943DBC"/>
    <w:rsid w:val="5C997625"/>
    <w:rsid w:val="5CA57080"/>
    <w:rsid w:val="5CA77E21"/>
    <w:rsid w:val="5CAF0BE0"/>
    <w:rsid w:val="5CB458BA"/>
    <w:rsid w:val="5CDC782C"/>
    <w:rsid w:val="5CE23DAC"/>
    <w:rsid w:val="5CE73917"/>
    <w:rsid w:val="5D0A73AF"/>
    <w:rsid w:val="5D120F26"/>
    <w:rsid w:val="5D1F603D"/>
    <w:rsid w:val="5D376039"/>
    <w:rsid w:val="5D3E31E9"/>
    <w:rsid w:val="5D436E42"/>
    <w:rsid w:val="5D63667B"/>
    <w:rsid w:val="5D6F2EDA"/>
    <w:rsid w:val="5D783847"/>
    <w:rsid w:val="5D7E0FB5"/>
    <w:rsid w:val="5D83037A"/>
    <w:rsid w:val="5D9941C1"/>
    <w:rsid w:val="5DA92832"/>
    <w:rsid w:val="5DAE502B"/>
    <w:rsid w:val="5DB466F3"/>
    <w:rsid w:val="5DB915F2"/>
    <w:rsid w:val="5DBC60F3"/>
    <w:rsid w:val="5DCB1D21"/>
    <w:rsid w:val="5DCD5A99"/>
    <w:rsid w:val="5DDA5440"/>
    <w:rsid w:val="5DDD5947"/>
    <w:rsid w:val="5DDF393D"/>
    <w:rsid w:val="5DDF6E4E"/>
    <w:rsid w:val="5DFA49E0"/>
    <w:rsid w:val="5E1D0F80"/>
    <w:rsid w:val="5E1F3B6D"/>
    <w:rsid w:val="5E224037"/>
    <w:rsid w:val="5E352C38"/>
    <w:rsid w:val="5E3E40FF"/>
    <w:rsid w:val="5E40706E"/>
    <w:rsid w:val="5E4C1080"/>
    <w:rsid w:val="5E4E1C8A"/>
    <w:rsid w:val="5E5D7A78"/>
    <w:rsid w:val="5E7833A1"/>
    <w:rsid w:val="5E8274BA"/>
    <w:rsid w:val="5EA06D09"/>
    <w:rsid w:val="5EA53C9A"/>
    <w:rsid w:val="5EB822A5"/>
    <w:rsid w:val="5EBC7F37"/>
    <w:rsid w:val="5ECE7D1A"/>
    <w:rsid w:val="5ED36C86"/>
    <w:rsid w:val="5EDA60B0"/>
    <w:rsid w:val="5EE35A57"/>
    <w:rsid w:val="5F1645A7"/>
    <w:rsid w:val="5F6A54DD"/>
    <w:rsid w:val="5F815969"/>
    <w:rsid w:val="5F8B4FA7"/>
    <w:rsid w:val="5F9B72D1"/>
    <w:rsid w:val="5FAB0A44"/>
    <w:rsid w:val="5FB17C29"/>
    <w:rsid w:val="5FB34738"/>
    <w:rsid w:val="5FB95E1C"/>
    <w:rsid w:val="5FC85F82"/>
    <w:rsid w:val="5FCB3FE5"/>
    <w:rsid w:val="5FDC5EDE"/>
    <w:rsid w:val="5FEB2206"/>
    <w:rsid w:val="5FED772C"/>
    <w:rsid w:val="5FF97EAE"/>
    <w:rsid w:val="60155C27"/>
    <w:rsid w:val="60162D11"/>
    <w:rsid w:val="601A6070"/>
    <w:rsid w:val="60226F8B"/>
    <w:rsid w:val="603B4F3C"/>
    <w:rsid w:val="60477ABF"/>
    <w:rsid w:val="604B06AE"/>
    <w:rsid w:val="60526566"/>
    <w:rsid w:val="607F756F"/>
    <w:rsid w:val="60917251"/>
    <w:rsid w:val="60982996"/>
    <w:rsid w:val="60C53D01"/>
    <w:rsid w:val="60C9018D"/>
    <w:rsid w:val="61012C93"/>
    <w:rsid w:val="61053FC5"/>
    <w:rsid w:val="610C088E"/>
    <w:rsid w:val="614A03E6"/>
    <w:rsid w:val="61531A50"/>
    <w:rsid w:val="61532201"/>
    <w:rsid w:val="61651210"/>
    <w:rsid w:val="61666018"/>
    <w:rsid w:val="616B46BB"/>
    <w:rsid w:val="616E5EB6"/>
    <w:rsid w:val="617526CF"/>
    <w:rsid w:val="618560EB"/>
    <w:rsid w:val="618E3791"/>
    <w:rsid w:val="619B5D77"/>
    <w:rsid w:val="61B10243"/>
    <w:rsid w:val="61BB2DD9"/>
    <w:rsid w:val="61C00B2F"/>
    <w:rsid w:val="61C3411F"/>
    <w:rsid w:val="61DD1B9A"/>
    <w:rsid w:val="61E136F6"/>
    <w:rsid w:val="61F4426B"/>
    <w:rsid w:val="61F83805"/>
    <w:rsid w:val="62022776"/>
    <w:rsid w:val="6205764C"/>
    <w:rsid w:val="62256C85"/>
    <w:rsid w:val="623600B0"/>
    <w:rsid w:val="62562501"/>
    <w:rsid w:val="6256299E"/>
    <w:rsid w:val="62574D95"/>
    <w:rsid w:val="62586747"/>
    <w:rsid w:val="626C60B7"/>
    <w:rsid w:val="62746498"/>
    <w:rsid w:val="62922E0D"/>
    <w:rsid w:val="62982A5C"/>
    <w:rsid w:val="62CB6D60"/>
    <w:rsid w:val="62E358B2"/>
    <w:rsid w:val="62EA49F7"/>
    <w:rsid w:val="62F154C5"/>
    <w:rsid w:val="62FD0A5D"/>
    <w:rsid w:val="63162338"/>
    <w:rsid w:val="632036E4"/>
    <w:rsid w:val="63232EB3"/>
    <w:rsid w:val="63267478"/>
    <w:rsid w:val="633D315E"/>
    <w:rsid w:val="63504ABF"/>
    <w:rsid w:val="63517786"/>
    <w:rsid w:val="637052D7"/>
    <w:rsid w:val="6388739F"/>
    <w:rsid w:val="6389099E"/>
    <w:rsid w:val="63954DAA"/>
    <w:rsid w:val="63C74AA3"/>
    <w:rsid w:val="63D87748"/>
    <w:rsid w:val="63DE2EEF"/>
    <w:rsid w:val="63E15DFA"/>
    <w:rsid w:val="63E8362C"/>
    <w:rsid w:val="63F16145"/>
    <w:rsid w:val="64024CFF"/>
    <w:rsid w:val="641D22DD"/>
    <w:rsid w:val="64426DE8"/>
    <w:rsid w:val="645B3151"/>
    <w:rsid w:val="646A170C"/>
    <w:rsid w:val="64701038"/>
    <w:rsid w:val="64722EF6"/>
    <w:rsid w:val="64797A3F"/>
    <w:rsid w:val="647B4B09"/>
    <w:rsid w:val="647B6F79"/>
    <w:rsid w:val="64815AEE"/>
    <w:rsid w:val="648937A8"/>
    <w:rsid w:val="648B1BA9"/>
    <w:rsid w:val="648D0F64"/>
    <w:rsid w:val="649449E8"/>
    <w:rsid w:val="649D5D6D"/>
    <w:rsid w:val="64A9391A"/>
    <w:rsid w:val="64AF7CA6"/>
    <w:rsid w:val="64D77B16"/>
    <w:rsid w:val="64F953C5"/>
    <w:rsid w:val="651B533C"/>
    <w:rsid w:val="651E27DC"/>
    <w:rsid w:val="65206DF6"/>
    <w:rsid w:val="65291D8F"/>
    <w:rsid w:val="65570D94"/>
    <w:rsid w:val="655774EE"/>
    <w:rsid w:val="65795592"/>
    <w:rsid w:val="65A10F4D"/>
    <w:rsid w:val="65A93335"/>
    <w:rsid w:val="65B765E2"/>
    <w:rsid w:val="65BC5BDE"/>
    <w:rsid w:val="65D3678B"/>
    <w:rsid w:val="65DB69B9"/>
    <w:rsid w:val="65E142CF"/>
    <w:rsid w:val="65F16DEF"/>
    <w:rsid w:val="65FF5B93"/>
    <w:rsid w:val="660540EE"/>
    <w:rsid w:val="66081715"/>
    <w:rsid w:val="661673E0"/>
    <w:rsid w:val="661A1A97"/>
    <w:rsid w:val="661A3845"/>
    <w:rsid w:val="661B00EA"/>
    <w:rsid w:val="661D360B"/>
    <w:rsid w:val="66523C3F"/>
    <w:rsid w:val="66541F53"/>
    <w:rsid w:val="665C126F"/>
    <w:rsid w:val="6660647F"/>
    <w:rsid w:val="66613222"/>
    <w:rsid w:val="66820F47"/>
    <w:rsid w:val="668A782A"/>
    <w:rsid w:val="66AF1795"/>
    <w:rsid w:val="66B07CC1"/>
    <w:rsid w:val="66B14B24"/>
    <w:rsid w:val="66B27D18"/>
    <w:rsid w:val="66D1442C"/>
    <w:rsid w:val="66D47E7F"/>
    <w:rsid w:val="66D64E5B"/>
    <w:rsid w:val="66DD089D"/>
    <w:rsid w:val="66F0016C"/>
    <w:rsid w:val="66FA0812"/>
    <w:rsid w:val="66FB2BD0"/>
    <w:rsid w:val="66FC2971"/>
    <w:rsid w:val="670008EB"/>
    <w:rsid w:val="67103ED9"/>
    <w:rsid w:val="67262B05"/>
    <w:rsid w:val="672C7CD4"/>
    <w:rsid w:val="674E513F"/>
    <w:rsid w:val="674E6BDA"/>
    <w:rsid w:val="67610E75"/>
    <w:rsid w:val="676F0F89"/>
    <w:rsid w:val="677178CC"/>
    <w:rsid w:val="677977BA"/>
    <w:rsid w:val="67797A29"/>
    <w:rsid w:val="679D31F9"/>
    <w:rsid w:val="679D3BF4"/>
    <w:rsid w:val="679D472E"/>
    <w:rsid w:val="67A41618"/>
    <w:rsid w:val="67AE4749"/>
    <w:rsid w:val="67C56A11"/>
    <w:rsid w:val="67DC3A63"/>
    <w:rsid w:val="67E071EA"/>
    <w:rsid w:val="67FC4971"/>
    <w:rsid w:val="68221BAF"/>
    <w:rsid w:val="682D62D9"/>
    <w:rsid w:val="685143BC"/>
    <w:rsid w:val="68542A0A"/>
    <w:rsid w:val="68555296"/>
    <w:rsid w:val="686C1E80"/>
    <w:rsid w:val="68816836"/>
    <w:rsid w:val="689079C3"/>
    <w:rsid w:val="689A2A1B"/>
    <w:rsid w:val="68D46A71"/>
    <w:rsid w:val="68D56910"/>
    <w:rsid w:val="68EF70C5"/>
    <w:rsid w:val="68F22D9F"/>
    <w:rsid w:val="69162C86"/>
    <w:rsid w:val="69180AD7"/>
    <w:rsid w:val="69214083"/>
    <w:rsid w:val="69456B9A"/>
    <w:rsid w:val="69481344"/>
    <w:rsid w:val="695700E3"/>
    <w:rsid w:val="6980516E"/>
    <w:rsid w:val="698B51FD"/>
    <w:rsid w:val="69960468"/>
    <w:rsid w:val="69A109AD"/>
    <w:rsid w:val="69B875FD"/>
    <w:rsid w:val="69D5796F"/>
    <w:rsid w:val="69E00AE8"/>
    <w:rsid w:val="69E2467A"/>
    <w:rsid w:val="69F101EA"/>
    <w:rsid w:val="69F448E4"/>
    <w:rsid w:val="6A0606AA"/>
    <w:rsid w:val="6A090874"/>
    <w:rsid w:val="6A0F6D29"/>
    <w:rsid w:val="6A1231B1"/>
    <w:rsid w:val="6A1B780C"/>
    <w:rsid w:val="6A206086"/>
    <w:rsid w:val="6A3F0B90"/>
    <w:rsid w:val="6A3F71AB"/>
    <w:rsid w:val="6A407F9F"/>
    <w:rsid w:val="6A4620BF"/>
    <w:rsid w:val="6A4D5F32"/>
    <w:rsid w:val="6A5D65D9"/>
    <w:rsid w:val="6A6908F7"/>
    <w:rsid w:val="6A722F0B"/>
    <w:rsid w:val="6A7A4D5B"/>
    <w:rsid w:val="6A7E7518"/>
    <w:rsid w:val="6A825953"/>
    <w:rsid w:val="6A881C38"/>
    <w:rsid w:val="6A8A11E6"/>
    <w:rsid w:val="6A8B2F63"/>
    <w:rsid w:val="6A9C6F1F"/>
    <w:rsid w:val="6AC034F3"/>
    <w:rsid w:val="6AC96987"/>
    <w:rsid w:val="6AD24017"/>
    <w:rsid w:val="6AD42C61"/>
    <w:rsid w:val="6AE14092"/>
    <w:rsid w:val="6AEA323D"/>
    <w:rsid w:val="6AF07997"/>
    <w:rsid w:val="6AF5032D"/>
    <w:rsid w:val="6AFB2812"/>
    <w:rsid w:val="6AFF182D"/>
    <w:rsid w:val="6B032C8C"/>
    <w:rsid w:val="6B243303"/>
    <w:rsid w:val="6B3569BE"/>
    <w:rsid w:val="6B3A1CE8"/>
    <w:rsid w:val="6B3E4E41"/>
    <w:rsid w:val="6B4D49EF"/>
    <w:rsid w:val="6B556078"/>
    <w:rsid w:val="6B565CD0"/>
    <w:rsid w:val="6B68013D"/>
    <w:rsid w:val="6B7022D0"/>
    <w:rsid w:val="6B7B5422"/>
    <w:rsid w:val="6B852192"/>
    <w:rsid w:val="6B925A32"/>
    <w:rsid w:val="6B9C4F5E"/>
    <w:rsid w:val="6BA92B5A"/>
    <w:rsid w:val="6BB42760"/>
    <w:rsid w:val="6BD37065"/>
    <w:rsid w:val="6BE13B5E"/>
    <w:rsid w:val="6BE31674"/>
    <w:rsid w:val="6BE95EA9"/>
    <w:rsid w:val="6BEA6094"/>
    <w:rsid w:val="6C114575"/>
    <w:rsid w:val="6C2A7712"/>
    <w:rsid w:val="6C3E2214"/>
    <w:rsid w:val="6C427652"/>
    <w:rsid w:val="6C4D48CD"/>
    <w:rsid w:val="6C8202CD"/>
    <w:rsid w:val="6C8639E2"/>
    <w:rsid w:val="6C961621"/>
    <w:rsid w:val="6C9D5038"/>
    <w:rsid w:val="6CBB7DE1"/>
    <w:rsid w:val="6CC445CB"/>
    <w:rsid w:val="6CD042ED"/>
    <w:rsid w:val="6CDA2357"/>
    <w:rsid w:val="6CE8212C"/>
    <w:rsid w:val="6CF01775"/>
    <w:rsid w:val="6CFB62C0"/>
    <w:rsid w:val="6CFD7CAA"/>
    <w:rsid w:val="6D026DE8"/>
    <w:rsid w:val="6D0316B2"/>
    <w:rsid w:val="6D087337"/>
    <w:rsid w:val="6D0E1321"/>
    <w:rsid w:val="6D104BE0"/>
    <w:rsid w:val="6D132371"/>
    <w:rsid w:val="6D1338DD"/>
    <w:rsid w:val="6D153789"/>
    <w:rsid w:val="6D3B4D97"/>
    <w:rsid w:val="6D487B73"/>
    <w:rsid w:val="6D4A2408"/>
    <w:rsid w:val="6D4B1E5A"/>
    <w:rsid w:val="6D5E70E9"/>
    <w:rsid w:val="6D6729D8"/>
    <w:rsid w:val="6D6E09F2"/>
    <w:rsid w:val="6D852386"/>
    <w:rsid w:val="6DBD67AE"/>
    <w:rsid w:val="6DCF3167"/>
    <w:rsid w:val="6DD54C21"/>
    <w:rsid w:val="6DD7012F"/>
    <w:rsid w:val="6DF453C2"/>
    <w:rsid w:val="6DFC1EB9"/>
    <w:rsid w:val="6E25722B"/>
    <w:rsid w:val="6E3363CE"/>
    <w:rsid w:val="6E3C316F"/>
    <w:rsid w:val="6E453429"/>
    <w:rsid w:val="6E456275"/>
    <w:rsid w:val="6E4E36BD"/>
    <w:rsid w:val="6E6127F4"/>
    <w:rsid w:val="6E631ECC"/>
    <w:rsid w:val="6E860D5E"/>
    <w:rsid w:val="6E880670"/>
    <w:rsid w:val="6E9028F6"/>
    <w:rsid w:val="6EB7522E"/>
    <w:rsid w:val="6EC002E5"/>
    <w:rsid w:val="6EC64ECD"/>
    <w:rsid w:val="6EC71F62"/>
    <w:rsid w:val="6ECD2CED"/>
    <w:rsid w:val="6EE1422E"/>
    <w:rsid w:val="6EE449F0"/>
    <w:rsid w:val="6EF14DB2"/>
    <w:rsid w:val="6EFA06B8"/>
    <w:rsid w:val="6F046E40"/>
    <w:rsid w:val="6F1743AC"/>
    <w:rsid w:val="6F3E2352"/>
    <w:rsid w:val="6F4656AB"/>
    <w:rsid w:val="6F5C1867"/>
    <w:rsid w:val="6F5C3F48"/>
    <w:rsid w:val="6F61462B"/>
    <w:rsid w:val="6F6D6714"/>
    <w:rsid w:val="6F6D6B46"/>
    <w:rsid w:val="6F8561D3"/>
    <w:rsid w:val="6F926B42"/>
    <w:rsid w:val="6F9C2017"/>
    <w:rsid w:val="6FB37BE5"/>
    <w:rsid w:val="6FC2450B"/>
    <w:rsid w:val="6FC7059A"/>
    <w:rsid w:val="6FCA64CD"/>
    <w:rsid w:val="6FE112C4"/>
    <w:rsid w:val="6FF069FB"/>
    <w:rsid w:val="6FF36A80"/>
    <w:rsid w:val="6FFB0619"/>
    <w:rsid w:val="6FFD7D02"/>
    <w:rsid w:val="70020E6A"/>
    <w:rsid w:val="701A60AC"/>
    <w:rsid w:val="702149D3"/>
    <w:rsid w:val="7021684B"/>
    <w:rsid w:val="70217D0F"/>
    <w:rsid w:val="70431E43"/>
    <w:rsid w:val="7045295A"/>
    <w:rsid w:val="7047527A"/>
    <w:rsid w:val="704E0CBB"/>
    <w:rsid w:val="7056241A"/>
    <w:rsid w:val="707B2CB1"/>
    <w:rsid w:val="70924B19"/>
    <w:rsid w:val="70952588"/>
    <w:rsid w:val="70A34833"/>
    <w:rsid w:val="70B75478"/>
    <w:rsid w:val="70BA7DE6"/>
    <w:rsid w:val="70BF74C3"/>
    <w:rsid w:val="70D56048"/>
    <w:rsid w:val="70DA3248"/>
    <w:rsid w:val="71027F8C"/>
    <w:rsid w:val="712A4901"/>
    <w:rsid w:val="71391F94"/>
    <w:rsid w:val="7148395C"/>
    <w:rsid w:val="715D7335"/>
    <w:rsid w:val="717159EA"/>
    <w:rsid w:val="71777F8A"/>
    <w:rsid w:val="719340CC"/>
    <w:rsid w:val="71946BA2"/>
    <w:rsid w:val="71A412EF"/>
    <w:rsid w:val="71B106B0"/>
    <w:rsid w:val="71B61A42"/>
    <w:rsid w:val="71BB267E"/>
    <w:rsid w:val="71BE59CD"/>
    <w:rsid w:val="71C32243"/>
    <w:rsid w:val="71D94178"/>
    <w:rsid w:val="71E258E0"/>
    <w:rsid w:val="71E450CA"/>
    <w:rsid w:val="71EA7F5E"/>
    <w:rsid w:val="71EE0EE5"/>
    <w:rsid w:val="71F773F9"/>
    <w:rsid w:val="71FB452B"/>
    <w:rsid w:val="72025ED5"/>
    <w:rsid w:val="720A7322"/>
    <w:rsid w:val="72137E38"/>
    <w:rsid w:val="721E571E"/>
    <w:rsid w:val="721F7D69"/>
    <w:rsid w:val="7225336C"/>
    <w:rsid w:val="722E3E35"/>
    <w:rsid w:val="7244014C"/>
    <w:rsid w:val="724A7260"/>
    <w:rsid w:val="724B68D9"/>
    <w:rsid w:val="72541E8D"/>
    <w:rsid w:val="725E62FA"/>
    <w:rsid w:val="72860473"/>
    <w:rsid w:val="7299364D"/>
    <w:rsid w:val="72C16C93"/>
    <w:rsid w:val="72D66A82"/>
    <w:rsid w:val="72D67597"/>
    <w:rsid w:val="72E43D31"/>
    <w:rsid w:val="72FF6E9B"/>
    <w:rsid w:val="73027148"/>
    <w:rsid w:val="7305147C"/>
    <w:rsid w:val="731A30F8"/>
    <w:rsid w:val="733A7EE8"/>
    <w:rsid w:val="734D11ED"/>
    <w:rsid w:val="735A55D3"/>
    <w:rsid w:val="73621B80"/>
    <w:rsid w:val="7375174D"/>
    <w:rsid w:val="73795D83"/>
    <w:rsid w:val="737B6EF7"/>
    <w:rsid w:val="73850D73"/>
    <w:rsid w:val="738B56FD"/>
    <w:rsid w:val="738B5D82"/>
    <w:rsid w:val="73993FFB"/>
    <w:rsid w:val="739F2E93"/>
    <w:rsid w:val="73A60FE9"/>
    <w:rsid w:val="73B8143C"/>
    <w:rsid w:val="73C06788"/>
    <w:rsid w:val="73D813D5"/>
    <w:rsid w:val="73DB1F8F"/>
    <w:rsid w:val="73DE1B70"/>
    <w:rsid w:val="73E6120B"/>
    <w:rsid w:val="741378E4"/>
    <w:rsid w:val="74213FF1"/>
    <w:rsid w:val="743138C9"/>
    <w:rsid w:val="74346455"/>
    <w:rsid w:val="74497E8D"/>
    <w:rsid w:val="744F70D5"/>
    <w:rsid w:val="74542618"/>
    <w:rsid w:val="746B1062"/>
    <w:rsid w:val="74836A59"/>
    <w:rsid w:val="74890514"/>
    <w:rsid w:val="74957A1D"/>
    <w:rsid w:val="74976F8C"/>
    <w:rsid w:val="749C28D6"/>
    <w:rsid w:val="74AC2DBE"/>
    <w:rsid w:val="74B03CF2"/>
    <w:rsid w:val="74B4279D"/>
    <w:rsid w:val="74C959EF"/>
    <w:rsid w:val="74D13C69"/>
    <w:rsid w:val="74D226D8"/>
    <w:rsid w:val="74D951DD"/>
    <w:rsid w:val="74E36253"/>
    <w:rsid w:val="74F273DA"/>
    <w:rsid w:val="74F600B5"/>
    <w:rsid w:val="750C6A4F"/>
    <w:rsid w:val="75102AF5"/>
    <w:rsid w:val="751C1B98"/>
    <w:rsid w:val="752E2E69"/>
    <w:rsid w:val="753F1C14"/>
    <w:rsid w:val="75404D65"/>
    <w:rsid w:val="75410DEE"/>
    <w:rsid w:val="754B45FC"/>
    <w:rsid w:val="754C4FE3"/>
    <w:rsid w:val="75780005"/>
    <w:rsid w:val="75846F2D"/>
    <w:rsid w:val="758E56B6"/>
    <w:rsid w:val="759D26FD"/>
    <w:rsid w:val="75BA7DC9"/>
    <w:rsid w:val="75C158E1"/>
    <w:rsid w:val="75D75BBF"/>
    <w:rsid w:val="75F25C45"/>
    <w:rsid w:val="75F8173D"/>
    <w:rsid w:val="75FE15A4"/>
    <w:rsid w:val="76087EFE"/>
    <w:rsid w:val="762F3987"/>
    <w:rsid w:val="763146BA"/>
    <w:rsid w:val="76373F9F"/>
    <w:rsid w:val="763C17CD"/>
    <w:rsid w:val="7651209F"/>
    <w:rsid w:val="765A396A"/>
    <w:rsid w:val="765B5EE0"/>
    <w:rsid w:val="76625186"/>
    <w:rsid w:val="76694515"/>
    <w:rsid w:val="7671183A"/>
    <w:rsid w:val="76795A9A"/>
    <w:rsid w:val="76850BE3"/>
    <w:rsid w:val="768E7AAD"/>
    <w:rsid w:val="769D37DC"/>
    <w:rsid w:val="76AD1FDF"/>
    <w:rsid w:val="76AF483A"/>
    <w:rsid w:val="76C37C6F"/>
    <w:rsid w:val="76C61386"/>
    <w:rsid w:val="76CF1D13"/>
    <w:rsid w:val="76D56664"/>
    <w:rsid w:val="76E81AE6"/>
    <w:rsid w:val="76FD0D45"/>
    <w:rsid w:val="77000835"/>
    <w:rsid w:val="770802F0"/>
    <w:rsid w:val="771025D4"/>
    <w:rsid w:val="77115FC5"/>
    <w:rsid w:val="77196438"/>
    <w:rsid w:val="77326AF1"/>
    <w:rsid w:val="77342D6F"/>
    <w:rsid w:val="77383B2B"/>
    <w:rsid w:val="773B467C"/>
    <w:rsid w:val="775B5775"/>
    <w:rsid w:val="775E0D1F"/>
    <w:rsid w:val="776655B0"/>
    <w:rsid w:val="77685B26"/>
    <w:rsid w:val="777B5097"/>
    <w:rsid w:val="777E55F4"/>
    <w:rsid w:val="777F79AC"/>
    <w:rsid w:val="77820DEB"/>
    <w:rsid w:val="7792671F"/>
    <w:rsid w:val="7797445D"/>
    <w:rsid w:val="77986D62"/>
    <w:rsid w:val="77A015C8"/>
    <w:rsid w:val="77A92E90"/>
    <w:rsid w:val="77B650A0"/>
    <w:rsid w:val="77CE0481"/>
    <w:rsid w:val="77E43CB3"/>
    <w:rsid w:val="77EC7456"/>
    <w:rsid w:val="77EE7D89"/>
    <w:rsid w:val="77EF0483"/>
    <w:rsid w:val="78131205"/>
    <w:rsid w:val="781911C5"/>
    <w:rsid w:val="781A279F"/>
    <w:rsid w:val="782500E0"/>
    <w:rsid w:val="782F5811"/>
    <w:rsid w:val="78384A59"/>
    <w:rsid w:val="783B343E"/>
    <w:rsid w:val="78491B75"/>
    <w:rsid w:val="784A2663"/>
    <w:rsid w:val="784A43B3"/>
    <w:rsid w:val="78511348"/>
    <w:rsid w:val="785250C1"/>
    <w:rsid w:val="78564BB1"/>
    <w:rsid w:val="78581051"/>
    <w:rsid w:val="786228CD"/>
    <w:rsid w:val="786F0FB8"/>
    <w:rsid w:val="78714DF4"/>
    <w:rsid w:val="78721CEF"/>
    <w:rsid w:val="787234C6"/>
    <w:rsid w:val="78756296"/>
    <w:rsid w:val="788334CC"/>
    <w:rsid w:val="78B20233"/>
    <w:rsid w:val="78D12FAA"/>
    <w:rsid w:val="78D855C6"/>
    <w:rsid w:val="78FC0536"/>
    <w:rsid w:val="78FE7954"/>
    <w:rsid w:val="79315979"/>
    <w:rsid w:val="79424F4F"/>
    <w:rsid w:val="795831E5"/>
    <w:rsid w:val="796E7E54"/>
    <w:rsid w:val="79756315"/>
    <w:rsid w:val="79765CDA"/>
    <w:rsid w:val="798B6ADC"/>
    <w:rsid w:val="79971D97"/>
    <w:rsid w:val="79A47621"/>
    <w:rsid w:val="79AA18D2"/>
    <w:rsid w:val="79AB6836"/>
    <w:rsid w:val="79C56A19"/>
    <w:rsid w:val="79D957CA"/>
    <w:rsid w:val="79DA621C"/>
    <w:rsid w:val="79ED729C"/>
    <w:rsid w:val="7A0A78E3"/>
    <w:rsid w:val="7A2465E9"/>
    <w:rsid w:val="7A364577"/>
    <w:rsid w:val="7A54735F"/>
    <w:rsid w:val="7A5A319C"/>
    <w:rsid w:val="7A5B64AE"/>
    <w:rsid w:val="7A5C5D83"/>
    <w:rsid w:val="7A681FA7"/>
    <w:rsid w:val="7A6963D8"/>
    <w:rsid w:val="7A8D6E37"/>
    <w:rsid w:val="7AA21823"/>
    <w:rsid w:val="7AA7070E"/>
    <w:rsid w:val="7AA900DE"/>
    <w:rsid w:val="7AA936C9"/>
    <w:rsid w:val="7AB12D4C"/>
    <w:rsid w:val="7AD37F76"/>
    <w:rsid w:val="7AF32BF3"/>
    <w:rsid w:val="7AF771AA"/>
    <w:rsid w:val="7B063D79"/>
    <w:rsid w:val="7B095F0A"/>
    <w:rsid w:val="7B116B6D"/>
    <w:rsid w:val="7B190BA4"/>
    <w:rsid w:val="7B334D35"/>
    <w:rsid w:val="7B36137C"/>
    <w:rsid w:val="7B3A2568"/>
    <w:rsid w:val="7B51165F"/>
    <w:rsid w:val="7B6F5B5B"/>
    <w:rsid w:val="7B7415FA"/>
    <w:rsid w:val="7B765886"/>
    <w:rsid w:val="7B7C4D25"/>
    <w:rsid w:val="7B893C25"/>
    <w:rsid w:val="7B8B5C40"/>
    <w:rsid w:val="7B90640C"/>
    <w:rsid w:val="7B922E29"/>
    <w:rsid w:val="7BAB0D70"/>
    <w:rsid w:val="7BBC11CF"/>
    <w:rsid w:val="7BBF79A8"/>
    <w:rsid w:val="7BC24F1F"/>
    <w:rsid w:val="7BE129E3"/>
    <w:rsid w:val="7BE23EB3"/>
    <w:rsid w:val="7BE91898"/>
    <w:rsid w:val="7BF72207"/>
    <w:rsid w:val="7C161B08"/>
    <w:rsid w:val="7C3A2FA7"/>
    <w:rsid w:val="7C541407"/>
    <w:rsid w:val="7C5840BF"/>
    <w:rsid w:val="7C6D071B"/>
    <w:rsid w:val="7C84107F"/>
    <w:rsid w:val="7C9909ED"/>
    <w:rsid w:val="7C9C2291"/>
    <w:rsid w:val="7CA46921"/>
    <w:rsid w:val="7CA56991"/>
    <w:rsid w:val="7CA71E0B"/>
    <w:rsid w:val="7CB85E09"/>
    <w:rsid w:val="7CFE3A42"/>
    <w:rsid w:val="7CFF1519"/>
    <w:rsid w:val="7D013878"/>
    <w:rsid w:val="7D0F508E"/>
    <w:rsid w:val="7D17450A"/>
    <w:rsid w:val="7D1943FF"/>
    <w:rsid w:val="7D2557AC"/>
    <w:rsid w:val="7D3F099E"/>
    <w:rsid w:val="7D4B01E2"/>
    <w:rsid w:val="7D533A52"/>
    <w:rsid w:val="7D5B43D0"/>
    <w:rsid w:val="7D6243C6"/>
    <w:rsid w:val="7D76523E"/>
    <w:rsid w:val="7D781E69"/>
    <w:rsid w:val="7D7B5075"/>
    <w:rsid w:val="7D832173"/>
    <w:rsid w:val="7D8A3C14"/>
    <w:rsid w:val="7D8C5B06"/>
    <w:rsid w:val="7D934401"/>
    <w:rsid w:val="7D953960"/>
    <w:rsid w:val="7D961406"/>
    <w:rsid w:val="7DA56991"/>
    <w:rsid w:val="7DA623C2"/>
    <w:rsid w:val="7DA737B9"/>
    <w:rsid w:val="7DB639FC"/>
    <w:rsid w:val="7DFF0E02"/>
    <w:rsid w:val="7E070C8C"/>
    <w:rsid w:val="7E0800A0"/>
    <w:rsid w:val="7E0C521E"/>
    <w:rsid w:val="7E0E7E19"/>
    <w:rsid w:val="7E1840CC"/>
    <w:rsid w:val="7E1964D0"/>
    <w:rsid w:val="7E303249"/>
    <w:rsid w:val="7E525E1A"/>
    <w:rsid w:val="7E555123"/>
    <w:rsid w:val="7E557656"/>
    <w:rsid w:val="7E7538B7"/>
    <w:rsid w:val="7E841CD2"/>
    <w:rsid w:val="7E844BCE"/>
    <w:rsid w:val="7E8D660B"/>
    <w:rsid w:val="7E9433D2"/>
    <w:rsid w:val="7E992085"/>
    <w:rsid w:val="7EB47F46"/>
    <w:rsid w:val="7EB94600"/>
    <w:rsid w:val="7ECF7C45"/>
    <w:rsid w:val="7ED82860"/>
    <w:rsid w:val="7EF45DB1"/>
    <w:rsid w:val="7EFD2358"/>
    <w:rsid w:val="7EFF5324"/>
    <w:rsid w:val="7F03165A"/>
    <w:rsid w:val="7F077A20"/>
    <w:rsid w:val="7F077BC2"/>
    <w:rsid w:val="7F09267A"/>
    <w:rsid w:val="7F2B23E6"/>
    <w:rsid w:val="7F2B4123"/>
    <w:rsid w:val="7F3426C9"/>
    <w:rsid w:val="7F3E0944"/>
    <w:rsid w:val="7F3E5DC7"/>
    <w:rsid w:val="7F5C2ED4"/>
    <w:rsid w:val="7F5E061E"/>
    <w:rsid w:val="7F643B5C"/>
    <w:rsid w:val="7F8A3D01"/>
    <w:rsid w:val="7F8B6823"/>
    <w:rsid w:val="7F9B25D3"/>
    <w:rsid w:val="7F9C4EBD"/>
    <w:rsid w:val="7FAD310E"/>
    <w:rsid w:val="7FCD6742"/>
    <w:rsid w:val="7FE44850"/>
    <w:rsid w:val="7FE546A7"/>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1"/>
    <w:autoRedefine/>
    <w:qFormat/>
    <w:uiPriority w:val="0"/>
    <w:pPr>
      <w:keepNext/>
      <w:keepLines/>
      <w:spacing w:line="440" w:lineRule="exact"/>
      <w:jc w:val="center"/>
      <w:outlineLvl w:val="0"/>
    </w:pPr>
    <w:rPr>
      <w:b/>
      <w:bCs/>
      <w:kern w:val="44"/>
      <w:sz w:val="44"/>
      <w:szCs w:val="44"/>
    </w:rPr>
  </w:style>
  <w:style w:type="paragraph" w:styleId="4">
    <w:name w:val="heading 2"/>
    <w:basedOn w:val="1"/>
    <w:next w:val="1"/>
    <w:link w:val="198"/>
    <w:autoRedefine/>
    <w:qFormat/>
    <w:uiPriority w:val="0"/>
    <w:pPr>
      <w:keepNext/>
      <w:keepLines/>
      <w:spacing w:line="440" w:lineRule="exact"/>
      <w:jc w:val="left"/>
      <w:outlineLvl w:val="1"/>
    </w:pPr>
    <w:rPr>
      <w:rFonts w:ascii="Arial" w:hAnsi="Arial" w:eastAsia="黑体"/>
      <w:b/>
      <w:bCs/>
      <w:szCs w:val="32"/>
    </w:rPr>
  </w:style>
  <w:style w:type="paragraph" w:styleId="2">
    <w:name w:val="heading 3"/>
    <w:basedOn w:val="1"/>
    <w:next w:val="1"/>
    <w:link w:val="154"/>
    <w:autoRedefine/>
    <w:qFormat/>
    <w:uiPriority w:val="0"/>
    <w:pPr>
      <w:keepNext/>
      <w:keepLines/>
      <w:spacing w:line="415" w:lineRule="auto"/>
      <w:outlineLvl w:val="2"/>
    </w:pPr>
    <w:rPr>
      <w:b/>
      <w:bCs/>
      <w:kern w:val="0"/>
      <w:sz w:val="32"/>
      <w:szCs w:val="32"/>
    </w:rPr>
  </w:style>
  <w:style w:type="paragraph" w:styleId="5">
    <w:name w:val="heading 4"/>
    <w:basedOn w:val="1"/>
    <w:next w:val="1"/>
    <w:autoRedefine/>
    <w:qFormat/>
    <w:uiPriority w:val="0"/>
    <w:pPr>
      <w:keepNext/>
      <w:keepLines/>
      <w:spacing w:line="374" w:lineRule="auto"/>
      <w:outlineLvl w:val="3"/>
    </w:pPr>
    <w:rPr>
      <w:rFonts w:ascii="Arial" w:hAnsi="Arial" w:eastAsia="黑体"/>
      <w:b/>
      <w:bCs/>
      <w:sz w:val="28"/>
      <w:szCs w:val="28"/>
    </w:rPr>
  </w:style>
  <w:style w:type="paragraph" w:styleId="6">
    <w:name w:val="heading 5"/>
    <w:basedOn w:val="1"/>
    <w:next w:val="1"/>
    <w:link w:val="130"/>
    <w:autoRedefine/>
    <w:qFormat/>
    <w:uiPriority w:val="0"/>
    <w:pPr>
      <w:keepNext/>
      <w:keepLines/>
      <w:spacing w:line="376" w:lineRule="auto"/>
      <w:outlineLvl w:val="4"/>
    </w:pPr>
    <w:rPr>
      <w:b/>
      <w:bCs/>
      <w:sz w:val="28"/>
      <w:szCs w:val="28"/>
    </w:rPr>
  </w:style>
  <w:style w:type="paragraph" w:styleId="7">
    <w:name w:val="heading 6"/>
    <w:basedOn w:val="1"/>
    <w:next w:val="1"/>
    <w:autoRedefine/>
    <w:qFormat/>
    <w:uiPriority w:val="0"/>
    <w:pPr>
      <w:keepNext/>
      <w:keepLines/>
      <w:widowControl/>
      <w:tabs>
        <w:tab w:val="left" w:pos="1440"/>
      </w:tabs>
      <w:spacing w:line="319" w:lineRule="auto"/>
      <w:ind w:left="1152" w:hanging="1152"/>
      <w:jc w:val="left"/>
      <w:outlineLvl w:val="5"/>
    </w:pPr>
    <w:rPr>
      <w:rFonts w:ascii="Arial" w:hAnsi="Arial" w:eastAsia="黑体"/>
      <w:b/>
      <w:bCs/>
      <w:kern w:val="0"/>
      <w:sz w:val="24"/>
    </w:rPr>
  </w:style>
  <w:style w:type="paragraph" w:styleId="8">
    <w:name w:val="heading 7"/>
    <w:basedOn w:val="1"/>
    <w:next w:val="1"/>
    <w:autoRedefine/>
    <w:qFormat/>
    <w:uiPriority w:val="0"/>
    <w:pPr>
      <w:keepNext/>
      <w:keepLines/>
      <w:widowControl/>
      <w:tabs>
        <w:tab w:val="left" w:pos="2520"/>
      </w:tabs>
      <w:spacing w:line="319" w:lineRule="auto"/>
      <w:ind w:left="1296" w:hanging="1296"/>
      <w:jc w:val="left"/>
      <w:outlineLvl w:val="6"/>
    </w:pPr>
    <w:rPr>
      <w:b/>
      <w:bCs/>
      <w:kern w:val="0"/>
      <w:sz w:val="24"/>
    </w:rPr>
  </w:style>
  <w:style w:type="paragraph" w:styleId="9">
    <w:name w:val="heading 8"/>
    <w:basedOn w:val="1"/>
    <w:next w:val="1"/>
    <w:autoRedefine/>
    <w:qFormat/>
    <w:uiPriority w:val="0"/>
    <w:pPr>
      <w:keepNext/>
      <w:keepLines/>
      <w:widowControl/>
      <w:tabs>
        <w:tab w:val="left" w:pos="1440"/>
      </w:tabs>
      <w:spacing w:line="319" w:lineRule="auto"/>
      <w:ind w:left="1440" w:hanging="1440"/>
      <w:jc w:val="left"/>
      <w:outlineLvl w:val="7"/>
    </w:pPr>
    <w:rPr>
      <w:rFonts w:ascii="Arial" w:hAnsi="Arial" w:eastAsia="黑体"/>
      <w:kern w:val="0"/>
      <w:sz w:val="24"/>
    </w:rPr>
  </w:style>
  <w:style w:type="paragraph" w:styleId="10">
    <w:name w:val="heading 9"/>
    <w:basedOn w:val="1"/>
    <w:next w:val="1"/>
    <w:autoRedefine/>
    <w:qFormat/>
    <w:uiPriority w:val="0"/>
    <w:pPr>
      <w:keepNext/>
      <w:keepLines/>
      <w:widowControl/>
      <w:tabs>
        <w:tab w:val="left" w:pos="1584"/>
      </w:tabs>
      <w:spacing w:line="319" w:lineRule="auto"/>
      <w:ind w:left="1584" w:hanging="1584"/>
      <w:jc w:val="left"/>
      <w:outlineLvl w:val="8"/>
    </w:pPr>
    <w:rPr>
      <w:rFonts w:ascii="Arial" w:hAnsi="Arial" w:eastAsia="黑体"/>
      <w:kern w:val="0"/>
      <w:szCs w:val="21"/>
    </w:rPr>
  </w:style>
  <w:style w:type="character" w:default="1" w:styleId="48">
    <w:name w:val="Default Paragraph Font"/>
    <w:autoRedefine/>
    <w:semiHidden/>
    <w:unhideWhenUsed/>
    <w:qFormat/>
    <w:uiPriority w:val="1"/>
  </w:style>
  <w:style w:type="table" w:default="1" w:styleId="4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39"/>
    <w:pPr>
      <w:ind w:left="1260"/>
      <w:jc w:val="left"/>
    </w:pPr>
    <w:rPr>
      <w:sz w:val="18"/>
      <w:szCs w:val="18"/>
    </w:rPr>
  </w:style>
  <w:style w:type="paragraph" w:styleId="12">
    <w:name w:val="table of authorities"/>
    <w:basedOn w:val="1"/>
    <w:next w:val="1"/>
    <w:autoRedefine/>
    <w:unhideWhenUsed/>
    <w:qFormat/>
    <w:uiPriority w:val="0"/>
    <w:pPr>
      <w:ind w:left="420" w:leftChars="200"/>
    </w:pPr>
  </w:style>
  <w:style w:type="paragraph" w:styleId="13">
    <w:name w:val="Normal Indent"/>
    <w:basedOn w:val="1"/>
    <w:next w:val="14"/>
    <w:autoRedefine/>
    <w:qFormat/>
    <w:uiPriority w:val="0"/>
    <w:pPr>
      <w:ind w:firstLine="420" w:firstLineChars="200"/>
    </w:pPr>
  </w:style>
  <w:style w:type="paragraph" w:styleId="14">
    <w:name w:val="Body Text First Indent 2"/>
    <w:basedOn w:val="15"/>
    <w:next w:val="1"/>
    <w:autoRedefine/>
    <w:qFormat/>
    <w:uiPriority w:val="0"/>
    <w:pPr>
      <w:spacing w:line="360" w:lineRule="auto"/>
      <w:ind w:firstLine="200" w:firstLineChars="200"/>
    </w:pPr>
    <w:rPr>
      <w:rFonts w:ascii="宋体"/>
      <w:szCs w:val="20"/>
    </w:rPr>
  </w:style>
  <w:style w:type="paragraph" w:styleId="15">
    <w:name w:val="Body Text Indent"/>
    <w:basedOn w:val="1"/>
    <w:next w:val="16"/>
    <w:autoRedefine/>
    <w:qFormat/>
    <w:uiPriority w:val="0"/>
    <w:pPr>
      <w:ind w:left="420" w:leftChars="200"/>
    </w:pPr>
  </w:style>
  <w:style w:type="paragraph" w:styleId="16">
    <w:name w:val="envelope return"/>
    <w:basedOn w:val="1"/>
    <w:next w:val="11"/>
    <w:autoRedefine/>
    <w:qFormat/>
    <w:uiPriority w:val="0"/>
    <w:pPr>
      <w:snapToGrid w:val="0"/>
    </w:pPr>
    <w:rPr>
      <w:rFonts w:ascii="Arial" w:hAnsi="Arial"/>
    </w:rPr>
  </w:style>
  <w:style w:type="paragraph" w:styleId="17">
    <w:name w:val="Document Map"/>
    <w:basedOn w:val="1"/>
    <w:autoRedefine/>
    <w:qFormat/>
    <w:uiPriority w:val="0"/>
    <w:pPr>
      <w:shd w:val="clear" w:color="auto" w:fill="000080"/>
    </w:pPr>
  </w:style>
  <w:style w:type="paragraph" w:styleId="18">
    <w:name w:val="annotation text"/>
    <w:basedOn w:val="1"/>
    <w:link w:val="113"/>
    <w:autoRedefine/>
    <w:qFormat/>
    <w:uiPriority w:val="0"/>
    <w:pPr>
      <w:jc w:val="left"/>
    </w:pPr>
  </w:style>
  <w:style w:type="paragraph" w:styleId="19">
    <w:name w:val="Body Text 3"/>
    <w:basedOn w:val="1"/>
    <w:autoRedefine/>
    <w:qFormat/>
    <w:uiPriority w:val="0"/>
    <w:rPr>
      <w:rFonts w:ascii="宋体"/>
      <w:sz w:val="24"/>
      <w:szCs w:val="20"/>
    </w:rPr>
  </w:style>
  <w:style w:type="paragraph" w:styleId="20">
    <w:name w:val="Body Text"/>
    <w:basedOn w:val="1"/>
    <w:link w:val="143"/>
    <w:autoRedefine/>
    <w:qFormat/>
    <w:uiPriority w:val="0"/>
  </w:style>
  <w:style w:type="paragraph" w:styleId="21">
    <w:name w:val="Block Text"/>
    <w:basedOn w:val="1"/>
    <w:next w:val="22"/>
    <w:autoRedefine/>
    <w:qFormat/>
    <w:uiPriority w:val="0"/>
    <w:pPr>
      <w:spacing w:line="400" w:lineRule="exact"/>
      <w:ind w:left="-359" w:leftChars="-171" w:right="31" w:rightChars="15" w:firstLine="980" w:firstLineChars="350"/>
    </w:pPr>
    <w:rPr>
      <w:rFonts w:ascii="宋体" w:hAnsi="宋体"/>
      <w:sz w:val="28"/>
      <w:szCs w:val="32"/>
    </w:rPr>
  </w:style>
  <w:style w:type="paragraph" w:styleId="22">
    <w:name w:val="Body Text Indent 3"/>
    <w:basedOn w:val="1"/>
    <w:next w:val="1"/>
    <w:autoRedefine/>
    <w:qFormat/>
    <w:uiPriority w:val="0"/>
    <w:pPr>
      <w:ind w:left="420" w:leftChars="200"/>
    </w:pPr>
    <w:rPr>
      <w:sz w:val="16"/>
      <w:szCs w:val="16"/>
    </w:rPr>
  </w:style>
  <w:style w:type="paragraph" w:styleId="23">
    <w:name w:val="toc 5"/>
    <w:basedOn w:val="1"/>
    <w:next w:val="1"/>
    <w:autoRedefine/>
    <w:qFormat/>
    <w:uiPriority w:val="39"/>
    <w:pPr>
      <w:ind w:left="840"/>
      <w:jc w:val="left"/>
    </w:pPr>
    <w:rPr>
      <w:sz w:val="18"/>
      <w:szCs w:val="18"/>
    </w:rPr>
  </w:style>
  <w:style w:type="paragraph" w:styleId="24">
    <w:name w:val="toc 3"/>
    <w:basedOn w:val="1"/>
    <w:next w:val="1"/>
    <w:autoRedefine/>
    <w:qFormat/>
    <w:uiPriority w:val="39"/>
    <w:pPr>
      <w:ind w:left="420"/>
      <w:jc w:val="left"/>
    </w:pPr>
    <w:rPr>
      <w:i/>
      <w:iCs/>
      <w:sz w:val="20"/>
      <w:szCs w:val="20"/>
    </w:rPr>
  </w:style>
  <w:style w:type="paragraph" w:styleId="25">
    <w:name w:val="Plain Text"/>
    <w:basedOn w:val="1"/>
    <w:next w:val="1"/>
    <w:link w:val="137"/>
    <w:autoRedefine/>
    <w:qFormat/>
    <w:uiPriority w:val="0"/>
    <w:rPr>
      <w:rFonts w:ascii="Courier New" w:hAnsi="Courier New"/>
      <w:szCs w:val="20"/>
    </w:rPr>
  </w:style>
  <w:style w:type="paragraph" w:styleId="26">
    <w:name w:val="toc 8"/>
    <w:basedOn w:val="1"/>
    <w:next w:val="1"/>
    <w:autoRedefine/>
    <w:qFormat/>
    <w:uiPriority w:val="39"/>
    <w:pPr>
      <w:ind w:left="1470"/>
      <w:jc w:val="left"/>
    </w:pPr>
    <w:rPr>
      <w:sz w:val="18"/>
      <w:szCs w:val="18"/>
    </w:rPr>
  </w:style>
  <w:style w:type="paragraph" w:styleId="27">
    <w:name w:val="Date"/>
    <w:basedOn w:val="1"/>
    <w:next w:val="1"/>
    <w:autoRedefine/>
    <w:qFormat/>
    <w:uiPriority w:val="0"/>
    <w:rPr>
      <w:sz w:val="24"/>
      <w:szCs w:val="20"/>
    </w:rPr>
  </w:style>
  <w:style w:type="paragraph" w:styleId="28">
    <w:name w:val="Body Text Indent 2"/>
    <w:basedOn w:val="1"/>
    <w:autoRedefine/>
    <w:qFormat/>
    <w:uiPriority w:val="0"/>
    <w:pPr>
      <w:spacing w:line="360" w:lineRule="exact"/>
      <w:ind w:firstLine="600" w:firstLineChars="250"/>
      <w:jc w:val="left"/>
    </w:pPr>
    <w:rPr>
      <w:sz w:val="24"/>
    </w:rPr>
  </w:style>
  <w:style w:type="paragraph" w:styleId="29">
    <w:name w:val="Balloon Text"/>
    <w:basedOn w:val="1"/>
    <w:autoRedefine/>
    <w:qFormat/>
    <w:uiPriority w:val="0"/>
    <w:rPr>
      <w:sz w:val="18"/>
      <w:szCs w:val="18"/>
    </w:rPr>
  </w:style>
  <w:style w:type="paragraph" w:styleId="30">
    <w:name w:val="footer"/>
    <w:basedOn w:val="1"/>
    <w:next w:val="1"/>
    <w:autoRedefine/>
    <w:qFormat/>
    <w:uiPriority w:val="0"/>
    <w:pPr>
      <w:tabs>
        <w:tab w:val="center" w:pos="4153"/>
        <w:tab w:val="right" w:pos="8306"/>
      </w:tabs>
      <w:snapToGrid w:val="0"/>
      <w:jc w:val="left"/>
    </w:pPr>
    <w:rPr>
      <w:sz w:val="18"/>
      <w:szCs w:val="18"/>
    </w:rPr>
  </w:style>
  <w:style w:type="paragraph" w:styleId="3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autoRedefine/>
    <w:qFormat/>
    <w:uiPriority w:val="39"/>
    <w:pPr>
      <w:jc w:val="left"/>
    </w:pPr>
    <w:rPr>
      <w:b/>
      <w:bCs/>
      <w:caps/>
      <w:sz w:val="20"/>
      <w:szCs w:val="20"/>
    </w:rPr>
  </w:style>
  <w:style w:type="paragraph" w:styleId="33">
    <w:name w:val="toc 4"/>
    <w:basedOn w:val="1"/>
    <w:next w:val="1"/>
    <w:autoRedefine/>
    <w:qFormat/>
    <w:uiPriority w:val="39"/>
    <w:pPr>
      <w:ind w:left="630"/>
      <w:jc w:val="left"/>
    </w:pPr>
    <w:rPr>
      <w:sz w:val="18"/>
      <w:szCs w:val="18"/>
    </w:rPr>
  </w:style>
  <w:style w:type="paragraph" w:styleId="34">
    <w:name w:val="List"/>
    <w:basedOn w:val="1"/>
    <w:autoRedefine/>
    <w:qFormat/>
    <w:uiPriority w:val="0"/>
    <w:pPr>
      <w:ind w:left="420" w:hanging="420"/>
    </w:pPr>
  </w:style>
  <w:style w:type="paragraph" w:styleId="35">
    <w:name w:val="footnote text"/>
    <w:basedOn w:val="1"/>
    <w:autoRedefine/>
    <w:qFormat/>
    <w:uiPriority w:val="0"/>
    <w:rPr>
      <w:sz w:val="20"/>
      <w:szCs w:val="20"/>
    </w:rPr>
  </w:style>
  <w:style w:type="paragraph" w:styleId="36">
    <w:name w:val="toc 6"/>
    <w:basedOn w:val="1"/>
    <w:next w:val="1"/>
    <w:autoRedefine/>
    <w:qFormat/>
    <w:uiPriority w:val="39"/>
    <w:pPr>
      <w:ind w:left="1050"/>
      <w:jc w:val="left"/>
    </w:pPr>
    <w:rPr>
      <w:sz w:val="18"/>
      <w:szCs w:val="18"/>
    </w:rPr>
  </w:style>
  <w:style w:type="paragraph" w:styleId="37">
    <w:name w:val="table of figures"/>
    <w:basedOn w:val="1"/>
    <w:next w:val="1"/>
    <w:autoRedefine/>
    <w:qFormat/>
    <w:uiPriority w:val="0"/>
    <w:pPr>
      <w:ind w:left="200" w:leftChars="200" w:hanging="200" w:hangingChars="200"/>
    </w:pPr>
  </w:style>
  <w:style w:type="paragraph" w:styleId="38">
    <w:name w:val="toc 2"/>
    <w:basedOn w:val="1"/>
    <w:next w:val="1"/>
    <w:autoRedefine/>
    <w:qFormat/>
    <w:uiPriority w:val="39"/>
    <w:pPr>
      <w:ind w:left="210"/>
      <w:jc w:val="left"/>
    </w:pPr>
    <w:rPr>
      <w:smallCaps/>
      <w:sz w:val="20"/>
      <w:szCs w:val="20"/>
    </w:rPr>
  </w:style>
  <w:style w:type="paragraph" w:styleId="39">
    <w:name w:val="toc 9"/>
    <w:basedOn w:val="1"/>
    <w:next w:val="1"/>
    <w:autoRedefine/>
    <w:qFormat/>
    <w:uiPriority w:val="39"/>
    <w:pPr>
      <w:ind w:left="1680"/>
      <w:jc w:val="left"/>
    </w:pPr>
    <w:rPr>
      <w:sz w:val="18"/>
      <w:szCs w:val="18"/>
    </w:rPr>
  </w:style>
  <w:style w:type="paragraph" w:styleId="40">
    <w:name w:val="Body Text 2"/>
    <w:basedOn w:val="1"/>
    <w:autoRedefine/>
    <w:qFormat/>
    <w:uiPriority w:val="0"/>
    <w:pPr>
      <w:spacing w:line="440" w:lineRule="exact"/>
    </w:pPr>
    <w:rPr>
      <w:sz w:val="28"/>
    </w:rPr>
  </w:style>
  <w:style w:type="paragraph" w:styleId="41">
    <w:name w:val="HTML Preformatted"/>
    <w:basedOn w:val="1"/>
    <w:link w:val="115"/>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2">
    <w:name w:val="Normal (Web)"/>
    <w:basedOn w:val="1"/>
    <w:autoRedefine/>
    <w:qFormat/>
    <w:uiPriority w:val="99"/>
    <w:pPr>
      <w:widowControl/>
      <w:spacing w:beforeAutospacing="1" w:afterAutospacing="1"/>
      <w:jc w:val="left"/>
    </w:pPr>
    <w:rPr>
      <w:rFonts w:ascii="宋体" w:hAnsi="宋体" w:cs="宋体"/>
      <w:kern w:val="0"/>
      <w:sz w:val="24"/>
    </w:rPr>
  </w:style>
  <w:style w:type="paragraph" w:styleId="43">
    <w:name w:val="Title"/>
    <w:basedOn w:val="1"/>
    <w:autoRedefine/>
    <w:qFormat/>
    <w:uiPriority w:val="0"/>
    <w:pPr>
      <w:adjustRightInd w:val="0"/>
      <w:spacing w:line="420" w:lineRule="atLeast"/>
      <w:jc w:val="center"/>
      <w:textAlignment w:val="baseline"/>
      <w:outlineLvl w:val="0"/>
    </w:pPr>
    <w:rPr>
      <w:rFonts w:ascii="Arial" w:hAnsi="Arial"/>
      <w:b/>
      <w:kern w:val="0"/>
      <w:sz w:val="32"/>
      <w:szCs w:val="20"/>
    </w:rPr>
  </w:style>
  <w:style w:type="paragraph" w:styleId="44">
    <w:name w:val="annotation subject"/>
    <w:basedOn w:val="18"/>
    <w:next w:val="18"/>
    <w:autoRedefine/>
    <w:qFormat/>
    <w:uiPriority w:val="0"/>
    <w:rPr>
      <w:b/>
      <w:bCs/>
    </w:rPr>
  </w:style>
  <w:style w:type="paragraph" w:styleId="45">
    <w:name w:val="Body Text First Indent"/>
    <w:basedOn w:val="20"/>
    <w:autoRedefine/>
    <w:qFormat/>
    <w:uiPriority w:val="0"/>
    <w:pPr>
      <w:ind w:firstLine="420" w:firstLineChars="100"/>
    </w:pPr>
  </w:style>
  <w:style w:type="table" w:styleId="47">
    <w:name w:val="Table Grid"/>
    <w:basedOn w:val="4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9">
    <w:name w:val="Strong"/>
    <w:basedOn w:val="48"/>
    <w:autoRedefine/>
    <w:qFormat/>
    <w:uiPriority w:val="0"/>
    <w:rPr>
      <w:b/>
      <w:bCs/>
    </w:rPr>
  </w:style>
  <w:style w:type="character" w:styleId="50">
    <w:name w:val="page number"/>
    <w:basedOn w:val="48"/>
    <w:autoRedefine/>
    <w:qFormat/>
    <w:uiPriority w:val="0"/>
  </w:style>
  <w:style w:type="character" w:styleId="51">
    <w:name w:val="FollowedHyperlink"/>
    <w:autoRedefine/>
    <w:qFormat/>
    <w:uiPriority w:val="0"/>
    <w:rPr>
      <w:color w:val="333333"/>
      <w:u w:val="none"/>
    </w:rPr>
  </w:style>
  <w:style w:type="character" w:styleId="52">
    <w:name w:val="Emphasis"/>
    <w:autoRedefine/>
    <w:qFormat/>
    <w:uiPriority w:val="0"/>
    <w:rPr>
      <w:color w:val="CC0033"/>
    </w:rPr>
  </w:style>
  <w:style w:type="character" w:styleId="53">
    <w:name w:val="HTML Definition"/>
    <w:autoRedefine/>
    <w:qFormat/>
    <w:uiPriority w:val="0"/>
  </w:style>
  <w:style w:type="character" w:styleId="54">
    <w:name w:val="HTML Typewriter"/>
    <w:autoRedefine/>
    <w:qFormat/>
    <w:uiPriority w:val="0"/>
    <w:rPr>
      <w:rFonts w:hint="default" w:ascii="monospace" w:hAnsi="monospace" w:eastAsia="monospace" w:cs="monospace"/>
      <w:sz w:val="20"/>
    </w:rPr>
  </w:style>
  <w:style w:type="character" w:styleId="55">
    <w:name w:val="HTML Acronym"/>
    <w:basedOn w:val="48"/>
    <w:autoRedefine/>
    <w:qFormat/>
    <w:uiPriority w:val="0"/>
  </w:style>
  <w:style w:type="character" w:styleId="56">
    <w:name w:val="HTML Variable"/>
    <w:autoRedefine/>
    <w:qFormat/>
    <w:uiPriority w:val="0"/>
  </w:style>
  <w:style w:type="character" w:styleId="57">
    <w:name w:val="Hyperlink"/>
    <w:basedOn w:val="48"/>
    <w:autoRedefine/>
    <w:qFormat/>
    <w:uiPriority w:val="99"/>
    <w:rPr>
      <w:color w:val="333333"/>
      <w:u w:val="none"/>
    </w:rPr>
  </w:style>
  <w:style w:type="character" w:styleId="58">
    <w:name w:val="HTML Code"/>
    <w:autoRedefine/>
    <w:qFormat/>
    <w:uiPriority w:val="0"/>
    <w:rPr>
      <w:rFonts w:hint="default" w:ascii="monospace" w:hAnsi="monospace" w:eastAsia="monospace" w:cs="monospace"/>
      <w:sz w:val="20"/>
    </w:rPr>
  </w:style>
  <w:style w:type="character" w:styleId="59">
    <w:name w:val="annotation reference"/>
    <w:autoRedefine/>
    <w:qFormat/>
    <w:uiPriority w:val="0"/>
    <w:rPr>
      <w:sz w:val="21"/>
      <w:szCs w:val="21"/>
    </w:rPr>
  </w:style>
  <w:style w:type="character" w:styleId="60">
    <w:name w:val="HTML Cite"/>
    <w:autoRedefine/>
    <w:qFormat/>
    <w:uiPriority w:val="0"/>
  </w:style>
  <w:style w:type="character" w:styleId="61">
    <w:name w:val="footnote reference"/>
    <w:autoRedefine/>
    <w:qFormat/>
    <w:uiPriority w:val="0"/>
    <w:rPr>
      <w:vertAlign w:val="superscript"/>
    </w:rPr>
  </w:style>
  <w:style w:type="character" w:styleId="62">
    <w:name w:val="HTML Keyboard"/>
    <w:autoRedefine/>
    <w:qFormat/>
    <w:uiPriority w:val="0"/>
    <w:rPr>
      <w:rFonts w:ascii="monospace" w:hAnsi="monospace" w:eastAsia="monospace" w:cs="monospace"/>
      <w:sz w:val="20"/>
    </w:rPr>
  </w:style>
  <w:style w:type="character" w:styleId="63">
    <w:name w:val="HTML Sample"/>
    <w:autoRedefine/>
    <w:qFormat/>
    <w:uiPriority w:val="0"/>
    <w:rPr>
      <w:rFonts w:hint="default" w:ascii="monospace" w:hAnsi="monospace" w:eastAsia="monospace" w:cs="monospace"/>
    </w:rPr>
  </w:style>
  <w:style w:type="paragraph" w:customStyle="1" w:styleId="64">
    <w:name w:val="正文（缩进）"/>
    <w:basedOn w:val="1"/>
    <w:next w:val="21"/>
    <w:autoRedefine/>
    <w:qFormat/>
    <w:uiPriority w:val="0"/>
    <w:pPr>
      <w:widowControl w:val="0"/>
      <w:spacing w:before="156" w:beforeLines="50" w:after="156" w:afterLines="50" w:line="360" w:lineRule="auto"/>
      <w:ind w:firstLine="480" w:firstLineChars="200"/>
      <w:textAlignment w:val="auto"/>
    </w:pPr>
    <w:rPr>
      <w:color w:val="auto"/>
      <w:kern w:val="2"/>
      <w:sz w:val="24"/>
      <w:szCs w:val="24"/>
      <w:u w:val="none" w:color="auto"/>
    </w:rPr>
  </w:style>
  <w:style w:type="paragraph" w:customStyle="1" w:styleId="65">
    <w:name w:val="正文文字 8"/>
    <w:basedOn w:val="1"/>
    <w:next w:val="1"/>
    <w:autoRedefine/>
    <w:qFormat/>
    <w:uiPriority w:val="0"/>
    <w:pPr>
      <w:ind w:left="240"/>
    </w:pPr>
    <w:rPr>
      <w:sz w:val="16"/>
    </w:rPr>
  </w:style>
  <w:style w:type="paragraph" w:styleId="66">
    <w:name w:val="List Paragraph"/>
    <w:basedOn w:val="1"/>
    <w:autoRedefine/>
    <w:qFormat/>
    <w:uiPriority w:val="34"/>
    <w:pPr>
      <w:ind w:firstLine="420" w:firstLineChars="200"/>
    </w:pPr>
  </w:style>
  <w:style w:type="paragraph" w:customStyle="1" w:styleId="67">
    <w:name w:val="_Style 62"/>
    <w:basedOn w:val="1"/>
    <w:next w:val="1"/>
    <w:autoRedefine/>
    <w:qFormat/>
    <w:uiPriority w:val="0"/>
    <w:pPr>
      <w:pBdr>
        <w:top w:val="single" w:color="auto" w:sz="6" w:space="1"/>
      </w:pBdr>
      <w:jc w:val="center"/>
    </w:pPr>
    <w:rPr>
      <w:rFonts w:ascii="Arial"/>
      <w:vanish/>
      <w:sz w:val="16"/>
    </w:rPr>
  </w:style>
  <w:style w:type="paragraph" w:customStyle="1" w:styleId="68">
    <w:name w:val="Blockquote"/>
    <w:basedOn w:val="1"/>
    <w:autoRedefine/>
    <w:qFormat/>
    <w:uiPriority w:val="0"/>
    <w:pPr>
      <w:autoSpaceDE w:val="0"/>
      <w:autoSpaceDN w:val="0"/>
      <w:adjustRightInd w:val="0"/>
      <w:ind w:left="360" w:right="360"/>
      <w:jc w:val="left"/>
    </w:pPr>
    <w:rPr>
      <w:kern w:val="0"/>
      <w:sz w:val="24"/>
      <w:szCs w:val="20"/>
    </w:rPr>
  </w:style>
  <w:style w:type="paragraph" w:customStyle="1" w:styleId="69">
    <w:name w:val="表格"/>
    <w:basedOn w:val="1"/>
    <w:autoRedefine/>
    <w:qFormat/>
    <w:uiPriority w:val="0"/>
    <w:pPr>
      <w:jc w:val="center"/>
      <w:textAlignment w:val="center"/>
    </w:pPr>
    <w:rPr>
      <w:rFonts w:ascii="华文细黑" w:hAnsi="华文细黑"/>
      <w:kern w:val="0"/>
      <w:szCs w:val="20"/>
    </w:rPr>
  </w:style>
  <w:style w:type="paragraph" w:customStyle="1" w:styleId="70">
    <w:name w:val="表格文字"/>
    <w:basedOn w:val="1"/>
    <w:autoRedefine/>
    <w:qFormat/>
    <w:uiPriority w:val="0"/>
    <w:pPr>
      <w:adjustRightInd w:val="0"/>
      <w:spacing w:line="420" w:lineRule="atLeast"/>
      <w:jc w:val="left"/>
      <w:textAlignment w:val="baseline"/>
    </w:pPr>
    <w:rPr>
      <w:kern w:val="0"/>
      <w:szCs w:val="20"/>
    </w:rPr>
  </w:style>
  <w:style w:type="paragraph" w:customStyle="1" w:styleId="71">
    <w:name w:val="Char"/>
    <w:basedOn w:val="1"/>
    <w:next w:val="1"/>
    <w:autoRedefine/>
    <w:qFormat/>
    <w:uiPriority w:val="0"/>
    <w:pPr>
      <w:widowControl/>
      <w:spacing w:line="360" w:lineRule="auto"/>
      <w:jc w:val="left"/>
    </w:pPr>
    <w:rPr>
      <w:kern w:val="0"/>
      <w:szCs w:val="20"/>
      <w:lang w:eastAsia="en-US"/>
    </w:rPr>
  </w:style>
  <w:style w:type="paragraph" w:customStyle="1" w:styleId="72">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3">
    <w:name w:val="样式2"/>
    <w:basedOn w:val="2"/>
    <w:autoRedefine/>
    <w:qFormat/>
    <w:uiPriority w:val="0"/>
  </w:style>
  <w:style w:type="paragraph" w:customStyle="1" w:styleId="74">
    <w:name w:val="Default Paragraph Char Char Char Char"/>
    <w:basedOn w:val="1"/>
    <w:next w:val="1"/>
    <w:autoRedefine/>
    <w:qFormat/>
    <w:uiPriority w:val="0"/>
    <w:pPr>
      <w:spacing w:line="360" w:lineRule="auto"/>
    </w:pPr>
    <w:rPr>
      <w:szCs w:val="20"/>
    </w:rPr>
  </w:style>
  <w:style w:type="paragraph" w:customStyle="1" w:styleId="75">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76">
    <w:name w:val="默认段落字体 Para Char Char Char Char"/>
    <w:basedOn w:val="1"/>
    <w:autoRedefine/>
    <w:qFormat/>
    <w:uiPriority w:val="0"/>
  </w:style>
  <w:style w:type="paragraph" w:customStyle="1" w:styleId="77">
    <w:name w:val="样式 标题 1 + 黑体 五号"/>
    <w:basedOn w:val="3"/>
    <w:autoRedefine/>
    <w:qFormat/>
    <w:uiPriority w:val="0"/>
    <w:pPr>
      <w:jc w:val="left"/>
    </w:pPr>
    <w:rPr>
      <w:rFonts w:ascii="黑体" w:hAnsi="黑体" w:eastAsia="黑体"/>
      <w:sz w:val="21"/>
    </w:rPr>
  </w:style>
  <w:style w:type="paragraph" w:customStyle="1" w:styleId="78">
    <w:name w:val="样式4"/>
    <w:basedOn w:val="2"/>
    <w:autoRedefine/>
    <w:qFormat/>
    <w:uiPriority w:val="0"/>
    <w:rPr>
      <w:rFonts w:eastAsia="Arial"/>
    </w:rPr>
  </w:style>
  <w:style w:type="paragraph" w:customStyle="1" w:styleId="79">
    <w:name w:val="正文1"/>
    <w:autoRedefine/>
    <w:qFormat/>
    <w:uiPriority w:val="0"/>
    <w:pPr>
      <w:widowControl w:val="0"/>
      <w:adjustRightInd w:val="0"/>
      <w:spacing w:line="312" w:lineRule="atLeast"/>
      <w:jc w:val="both"/>
      <w:textAlignment w:val="baseline"/>
    </w:pPr>
    <w:rPr>
      <w:rFonts w:ascii="宋体" w:hAnsi="Times New Roman" w:eastAsia="宋体" w:cs="宋体"/>
      <w:sz w:val="24"/>
      <w:szCs w:val="24"/>
      <w:lang w:val="en-US" w:eastAsia="zh-CN" w:bidi="ar-SA"/>
    </w:rPr>
  </w:style>
  <w:style w:type="paragraph" w:customStyle="1" w:styleId="80">
    <w:name w:val="列出段落1"/>
    <w:basedOn w:val="1"/>
    <w:autoRedefine/>
    <w:qFormat/>
    <w:uiPriority w:val="0"/>
    <w:pPr>
      <w:ind w:firstLine="200" w:firstLineChars="200"/>
    </w:pPr>
  </w:style>
  <w:style w:type="paragraph" w:customStyle="1" w:styleId="81">
    <w:name w:val="p0 New"/>
    <w:basedOn w:val="1"/>
    <w:autoRedefine/>
    <w:qFormat/>
    <w:uiPriority w:val="0"/>
    <w:pPr>
      <w:widowControl/>
      <w:jc w:val="left"/>
    </w:pPr>
    <w:rPr>
      <w:rFonts w:ascii="宋体" w:hAnsi="宋体" w:cs="宋体"/>
      <w:kern w:val="0"/>
      <w:sz w:val="18"/>
      <w:szCs w:val="18"/>
    </w:rPr>
  </w:style>
  <w:style w:type="paragraph" w:customStyle="1" w:styleId="82">
    <w:name w:val="样式 标题 1 + 黑体 三号 非加粗 居中 段前: 6 磅 段后: 6 磅 行距: 固定值 20 磅"/>
    <w:basedOn w:val="3"/>
    <w:autoRedefine/>
    <w:qFormat/>
    <w:uiPriority w:val="0"/>
    <w:pPr>
      <w:spacing w:line="400" w:lineRule="exact"/>
    </w:pPr>
    <w:rPr>
      <w:rFonts w:ascii="黑体" w:hAnsi="黑体" w:eastAsia="黑体" w:cs="宋体"/>
      <w:b w:val="0"/>
      <w:bCs w:val="0"/>
      <w:sz w:val="32"/>
      <w:szCs w:val="20"/>
    </w:rPr>
  </w:style>
  <w:style w:type="paragraph" w:customStyle="1" w:styleId="83">
    <w:name w:val="_Style 78"/>
    <w:basedOn w:val="3"/>
    <w:next w:val="1"/>
    <w:autoRedefine/>
    <w:qFormat/>
    <w:uiPriority w:val="39"/>
    <w:pPr>
      <w:widowControl/>
      <w:spacing w:before="480" w:line="276" w:lineRule="auto"/>
      <w:jc w:val="left"/>
      <w:outlineLvl w:val="9"/>
    </w:pPr>
    <w:rPr>
      <w:rFonts w:ascii="Cambria" w:hAnsi="Cambria"/>
      <w:color w:val="365F91"/>
      <w:kern w:val="0"/>
      <w:sz w:val="28"/>
      <w:szCs w:val="28"/>
    </w:rPr>
  </w:style>
  <w:style w:type="paragraph" w:customStyle="1" w:styleId="84">
    <w:name w:val="Char1"/>
    <w:basedOn w:val="1"/>
    <w:autoRedefine/>
    <w:qFormat/>
    <w:uiPriority w:val="0"/>
    <w:pPr>
      <w:tabs>
        <w:tab w:val="left" w:pos="360"/>
      </w:tabs>
    </w:pPr>
    <w:rPr>
      <w:sz w:val="24"/>
    </w:rPr>
  </w:style>
  <w:style w:type="paragraph" w:customStyle="1" w:styleId="85">
    <w:name w:val="样式1"/>
    <w:basedOn w:val="2"/>
    <w:autoRedefine/>
    <w:qFormat/>
    <w:uiPriority w:val="0"/>
    <w:rPr>
      <w:rFonts w:eastAsia="Arial"/>
    </w:rPr>
  </w:style>
  <w:style w:type="paragraph" w:customStyle="1" w:styleId="86">
    <w:name w:val="Char Char Char Char Char Char Char Char Char Char Char Char Char"/>
    <w:basedOn w:val="1"/>
    <w:autoRedefine/>
    <w:qFormat/>
    <w:uiPriority w:val="0"/>
  </w:style>
  <w:style w:type="paragraph" w:customStyle="1" w:styleId="87">
    <w:name w:val="p"/>
    <w:basedOn w:val="1"/>
    <w:autoRedefine/>
    <w:qFormat/>
    <w:uiPriority w:val="0"/>
    <w:rPr>
      <w:rFonts w:ascii="宋体"/>
      <w:sz w:val="24"/>
    </w:rPr>
  </w:style>
  <w:style w:type="paragraph" w:customStyle="1" w:styleId="88">
    <w:name w:val="Char Char Char Char"/>
    <w:basedOn w:val="1"/>
    <w:autoRedefine/>
    <w:qFormat/>
    <w:uiPriority w:val="0"/>
  </w:style>
  <w:style w:type="paragraph" w:customStyle="1" w:styleId="89">
    <w:name w:val="_Style 84"/>
    <w:basedOn w:val="1"/>
    <w:next w:val="1"/>
    <w:autoRedefine/>
    <w:qFormat/>
    <w:uiPriority w:val="0"/>
    <w:pPr>
      <w:pBdr>
        <w:bottom w:val="single" w:color="auto" w:sz="6" w:space="1"/>
      </w:pBdr>
      <w:jc w:val="center"/>
    </w:pPr>
    <w:rPr>
      <w:rFonts w:ascii="Arial"/>
      <w:vanish/>
      <w:sz w:val="16"/>
    </w:rPr>
  </w:style>
  <w:style w:type="paragraph" w:customStyle="1" w:styleId="90">
    <w:name w:val="1"/>
    <w:basedOn w:val="1"/>
    <w:next w:val="1"/>
    <w:autoRedefine/>
    <w:qFormat/>
    <w:uiPriority w:val="0"/>
  </w:style>
  <w:style w:type="paragraph" w:customStyle="1" w:styleId="91">
    <w:name w:val="p15"/>
    <w:autoRedefine/>
    <w:qFormat/>
    <w:uiPriority w:val="0"/>
    <w:pPr>
      <w:jc w:val="both"/>
    </w:pPr>
    <w:rPr>
      <w:rFonts w:ascii="宋体" w:hAnsi="Times New Roman" w:eastAsia="宋体" w:cs="宋体"/>
      <w:sz w:val="21"/>
      <w:szCs w:val="21"/>
      <w:lang w:val="en-US" w:eastAsia="zh-CN" w:bidi="ar-SA"/>
    </w:rPr>
  </w:style>
  <w:style w:type="paragraph" w:customStyle="1" w:styleId="92">
    <w:name w:val="样式 标题 2 + Times New Roman 四号 非加粗 段前: 5 磅 段后: 0 磅 行距: 固定值 20..."/>
    <w:basedOn w:val="4"/>
    <w:autoRedefine/>
    <w:qFormat/>
    <w:uiPriority w:val="0"/>
    <w:pPr>
      <w:spacing w:line="400" w:lineRule="exact"/>
    </w:pPr>
    <w:rPr>
      <w:rFonts w:ascii="Times New Roman" w:hAnsi="Times New Roman" w:cs="宋体"/>
      <w:b w:val="0"/>
      <w:bCs w:val="0"/>
      <w:sz w:val="28"/>
      <w:szCs w:val="20"/>
    </w:rPr>
  </w:style>
  <w:style w:type="paragraph" w:customStyle="1" w:styleId="93">
    <w:name w:val="Table Paragraph"/>
    <w:basedOn w:val="1"/>
    <w:autoRedefine/>
    <w:qFormat/>
    <w:uiPriority w:val="0"/>
    <w:pPr>
      <w:autoSpaceDE w:val="0"/>
      <w:autoSpaceDN w:val="0"/>
      <w:jc w:val="left"/>
    </w:pPr>
    <w:rPr>
      <w:rFonts w:ascii="宋体" w:hAnsi="宋体" w:cs="宋体"/>
      <w:kern w:val="0"/>
      <w:sz w:val="22"/>
      <w:szCs w:val="22"/>
      <w:lang w:val="zh-CN"/>
    </w:rPr>
  </w:style>
  <w:style w:type="paragraph" w:customStyle="1" w:styleId="94">
    <w:name w:val="p0"/>
    <w:basedOn w:val="1"/>
    <w:autoRedefine/>
    <w:qFormat/>
    <w:uiPriority w:val="99"/>
    <w:pPr>
      <w:widowControl/>
    </w:pPr>
    <w:rPr>
      <w:kern w:val="0"/>
      <w:szCs w:val="21"/>
    </w:rPr>
  </w:style>
  <w:style w:type="paragraph" w:customStyle="1" w:styleId="95">
    <w:name w:val="样式3"/>
    <w:basedOn w:val="2"/>
    <w:autoRedefine/>
    <w:qFormat/>
    <w:uiPriority w:val="0"/>
    <w:rPr>
      <w:rFonts w:eastAsia="Arial"/>
    </w:rPr>
  </w:style>
  <w:style w:type="paragraph" w:customStyle="1" w:styleId="96">
    <w:name w:val="样式 标题 3 + (中文) 黑体 小四 非加粗 段前: 7.8 磅 段后: 0 磅 行距: 固定值 20 磅"/>
    <w:basedOn w:val="2"/>
    <w:autoRedefine/>
    <w:qFormat/>
    <w:uiPriority w:val="0"/>
    <w:pPr>
      <w:spacing w:line="400" w:lineRule="exact"/>
    </w:pPr>
    <w:rPr>
      <w:rFonts w:eastAsia="黑体" w:cs="宋体"/>
      <w:b w:val="0"/>
      <w:bCs w:val="0"/>
      <w:sz w:val="24"/>
      <w:szCs w:val="20"/>
    </w:rPr>
  </w:style>
  <w:style w:type="paragraph" w:customStyle="1" w:styleId="97">
    <w:name w:val="Char Char Char Char Char Char Char Char Char Char Char Char Char1"/>
    <w:basedOn w:val="1"/>
    <w:autoRedefine/>
    <w:qFormat/>
    <w:uiPriority w:val="0"/>
  </w:style>
  <w:style w:type="paragraph" w:customStyle="1" w:styleId="98">
    <w:name w:val="Char4"/>
    <w:basedOn w:val="1"/>
    <w:autoRedefine/>
    <w:qFormat/>
    <w:uiPriority w:val="0"/>
    <w:pPr>
      <w:widowControl/>
      <w:spacing w:line="360" w:lineRule="auto"/>
      <w:ind w:firstLine="200" w:firstLineChars="200"/>
      <w:textAlignment w:val="baseline"/>
    </w:pPr>
    <w:rPr>
      <w:color w:val="000000"/>
      <w:kern w:val="0"/>
      <w:szCs w:val="20"/>
      <w:u w:color="000000"/>
    </w:rPr>
  </w:style>
  <w:style w:type="paragraph" w:customStyle="1" w:styleId="99">
    <w:name w:val="正文2"/>
    <w:autoRedefine/>
    <w:qFormat/>
    <w:uiPriority w:val="0"/>
    <w:pPr>
      <w:widowControl w:val="0"/>
      <w:jc w:val="both"/>
    </w:pPr>
    <w:rPr>
      <w:rFonts w:ascii="Times New Roman" w:hAnsi="Times New Roman" w:eastAsia="宋体" w:cs="Times New Roman"/>
      <w:lang w:val="en-US" w:eastAsia="zh-CN" w:bidi="ar-SA"/>
    </w:rPr>
  </w:style>
  <w:style w:type="character" w:customStyle="1" w:styleId="100">
    <w:name w:val="first-child"/>
    <w:basedOn w:val="48"/>
    <w:autoRedefine/>
    <w:qFormat/>
    <w:uiPriority w:val="0"/>
  </w:style>
  <w:style w:type="character" w:customStyle="1" w:styleId="101">
    <w:name w:val="Char Char Char Char Char Char"/>
    <w:autoRedefine/>
    <w:qFormat/>
    <w:uiPriority w:val="0"/>
    <w:rPr>
      <w:rFonts w:ascii="Arial" w:hAnsi="Arial" w:eastAsia="黑体"/>
      <w:b/>
      <w:bCs/>
      <w:kern w:val="2"/>
      <w:sz w:val="32"/>
      <w:szCs w:val="32"/>
      <w:lang w:val="en-US" w:eastAsia="zh-CN" w:bidi="ar-SA"/>
    </w:rPr>
  </w:style>
  <w:style w:type="character" w:customStyle="1" w:styleId="102">
    <w:name w:val="l11"/>
    <w:autoRedefine/>
    <w:qFormat/>
    <w:uiPriority w:val="0"/>
    <w:rPr>
      <w:color w:val="999999"/>
    </w:rPr>
  </w:style>
  <w:style w:type="character" w:customStyle="1" w:styleId="103">
    <w:name w:val="Char Char"/>
    <w:autoRedefine/>
    <w:qFormat/>
    <w:uiPriority w:val="0"/>
    <w:rPr>
      <w:rFonts w:ascii="Arial" w:hAnsi="Arial" w:eastAsia="黑体"/>
      <w:b/>
      <w:bCs/>
      <w:kern w:val="2"/>
      <w:sz w:val="32"/>
      <w:szCs w:val="32"/>
      <w:lang w:val="en-US" w:eastAsia="zh-CN" w:bidi="ar-SA"/>
    </w:rPr>
  </w:style>
  <w:style w:type="character" w:customStyle="1" w:styleId="104">
    <w:name w:val="Char Char5"/>
    <w:autoRedefine/>
    <w:qFormat/>
    <w:uiPriority w:val="0"/>
    <w:rPr>
      <w:rFonts w:ascii="Arial" w:hAnsi="Arial" w:eastAsia="黑体"/>
      <w:b/>
      <w:bCs/>
      <w:kern w:val="2"/>
      <w:sz w:val="32"/>
      <w:szCs w:val="32"/>
    </w:rPr>
  </w:style>
  <w:style w:type="character" w:customStyle="1" w:styleId="105">
    <w:name w:val="msg-box28"/>
    <w:basedOn w:val="48"/>
    <w:autoRedefine/>
    <w:qFormat/>
    <w:uiPriority w:val="0"/>
  </w:style>
  <w:style w:type="character" w:customStyle="1" w:styleId="106">
    <w:name w:val="img_title6"/>
    <w:autoRedefine/>
    <w:qFormat/>
    <w:uiPriority w:val="0"/>
    <w:rPr>
      <w:vanish/>
    </w:rPr>
  </w:style>
  <w:style w:type="character" w:customStyle="1" w:styleId="107">
    <w:name w:val="tit12"/>
    <w:autoRedefine/>
    <w:qFormat/>
    <w:uiPriority w:val="0"/>
    <w:rPr>
      <w:color w:val="04A06C"/>
    </w:rPr>
  </w:style>
  <w:style w:type="character" w:customStyle="1" w:styleId="108">
    <w:name w:val="Char Char2"/>
    <w:autoRedefine/>
    <w:qFormat/>
    <w:uiPriority w:val="0"/>
    <w:rPr>
      <w:rFonts w:eastAsia="宋体"/>
      <w:kern w:val="2"/>
      <w:sz w:val="21"/>
      <w:szCs w:val="24"/>
      <w:lang w:val="en-US" w:eastAsia="zh-CN" w:bidi="ar-SA"/>
    </w:rPr>
  </w:style>
  <w:style w:type="character" w:customStyle="1" w:styleId="109">
    <w:name w:val="nostart"/>
    <w:autoRedefine/>
    <w:qFormat/>
    <w:uiPriority w:val="0"/>
    <w:rPr>
      <w:color w:val="FF0000"/>
    </w:rPr>
  </w:style>
  <w:style w:type="character" w:customStyle="1" w:styleId="110">
    <w:name w:val="nostart3"/>
    <w:basedOn w:val="48"/>
    <w:autoRedefine/>
    <w:qFormat/>
    <w:uiPriority w:val="0"/>
  </w:style>
  <w:style w:type="character" w:customStyle="1" w:styleId="111">
    <w:name w:val="img4"/>
    <w:basedOn w:val="48"/>
    <w:autoRedefine/>
    <w:qFormat/>
    <w:uiPriority w:val="0"/>
  </w:style>
  <w:style w:type="character" w:customStyle="1" w:styleId="112">
    <w:name w:val="tit11"/>
    <w:autoRedefine/>
    <w:qFormat/>
    <w:uiPriority w:val="0"/>
    <w:rPr>
      <w:color w:val="B60000"/>
    </w:rPr>
  </w:style>
  <w:style w:type="character" w:customStyle="1" w:styleId="113">
    <w:name w:val="批注文字 Char"/>
    <w:link w:val="18"/>
    <w:autoRedefine/>
    <w:qFormat/>
    <w:uiPriority w:val="0"/>
    <w:rPr>
      <w:rFonts w:eastAsia="宋体"/>
      <w:kern w:val="2"/>
      <w:sz w:val="21"/>
      <w:szCs w:val="24"/>
      <w:lang w:val="en-US" w:eastAsia="zh-CN" w:bidi="ar-SA"/>
    </w:rPr>
  </w:style>
  <w:style w:type="character" w:customStyle="1" w:styleId="114">
    <w:name w:val="over"/>
    <w:autoRedefine/>
    <w:qFormat/>
    <w:uiPriority w:val="0"/>
    <w:rPr>
      <w:color w:val="B60000"/>
    </w:rPr>
  </w:style>
  <w:style w:type="character" w:customStyle="1" w:styleId="115">
    <w:name w:val="HTML 预设格式 Char"/>
    <w:link w:val="41"/>
    <w:autoRedefine/>
    <w:qFormat/>
    <w:uiPriority w:val="0"/>
    <w:rPr>
      <w:rFonts w:ascii="宋体" w:hAnsi="宋体" w:cs="宋体"/>
      <w:sz w:val="24"/>
      <w:szCs w:val="24"/>
    </w:rPr>
  </w:style>
  <w:style w:type="character" w:customStyle="1" w:styleId="116">
    <w:name w:val="l6"/>
    <w:autoRedefine/>
    <w:qFormat/>
    <w:uiPriority w:val="0"/>
    <w:rPr>
      <w:color w:val="999999"/>
    </w:rPr>
  </w:style>
  <w:style w:type="character" w:customStyle="1" w:styleId="117">
    <w:name w:val="datetime"/>
    <w:autoRedefine/>
    <w:qFormat/>
    <w:uiPriority w:val="0"/>
    <w:rPr>
      <w:rFonts w:hint="default" w:ascii="Arial" w:hAnsi="Arial" w:cs="Arial"/>
      <w:color w:val="999999"/>
      <w:sz w:val="21"/>
      <w:szCs w:val="21"/>
    </w:rPr>
  </w:style>
  <w:style w:type="character" w:customStyle="1" w:styleId="118">
    <w:name w:val="txt1"/>
    <w:basedOn w:val="48"/>
    <w:autoRedefine/>
    <w:qFormat/>
    <w:uiPriority w:val="0"/>
  </w:style>
  <w:style w:type="character" w:customStyle="1" w:styleId="119">
    <w:name w:val="starting1"/>
    <w:autoRedefine/>
    <w:qFormat/>
    <w:uiPriority w:val="0"/>
    <w:rPr>
      <w:color w:val="339900"/>
    </w:rPr>
  </w:style>
  <w:style w:type="character" w:customStyle="1" w:styleId="120">
    <w:name w:val="starting2"/>
    <w:autoRedefine/>
    <w:qFormat/>
    <w:uiPriority w:val="0"/>
    <w:rPr>
      <w:color w:val="B60000"/>
    </w:rPr>
  </w:style>
  <w:style w:type="character" w:customStyle="1" w:styleId="121">
    <w:name w:val="标题 1 Char"/>
    <w:link w:val="3"/>
    <w:autoRedefine/>
    <w:qFormat/>
    <w:uiPriority w:val="0"/>
    <w:rPr>
      <w:rFonts w:eastAsia="宋体"/>
      <w:b/>
      <w:bCs/>
      <w:kern w:val="44"/>
      <w:sz w:val="44"/>
      <w:szCs w:val="44"/>
      <w:lang w:val="en-US" w:eastAsia="zh-CN" w:bidi="ar-SA"/>
    </w:rPr>
  </w:style>
  <w:style w:type="character" w:customStyle="1" w:styleId="122">
    <w:name w:val="red"/>
    <w:autoRedefine/>
    <w:qFormat/>
    <w:uiPriority w:val="0"/>
    <w:rPr>
      <w:rFonts w:hint="default" w:ascii="Arial" w:hAnsi="Arial" w:cs="Arial"/>
      <w:color w:val="E50000"/>
    </w:rPr>
  </w:style>
  <w:style w:type="character" w:customStyle="1" w:styleId="123">
    <w:name w:val="Char Char4"/>
    <w:autoRedefine/>
    <w:qFormat/>
    <w:uiPriority w:val="0"/>
    <w:rPr>
      <w:rFonts w:eastAsia="宋体"/>
      <w:b/>
      <w:bCs/>
      <w:kern w:val="44"/>
      <w:sz w:val="44"/>
      <w:szCs w:val="44"/>
      <w:lang w:val="en-US" w:eastAsia="zh-CN" w:bidi="ar-SA"/>
    </w:rPr>
  </w:style>
  <w:style w:type="character" w:customStyle="1" w:styleId="124">
    <w:name w:val="font161"/>
    <w:autoRedefine/>
    <w:qFormat/>
    <w:uiPriority w:val="0"/>
    <w:rPr>
      <w:b/>
      <w:bCs/>
      <w:sz w:val="32"/>
      <w:szCs w:val="32"/>
    </w:rPr>
  </w:style>
  <w:style w:type="character" w:customStyle="1" w:styleId="125">
    <w:name w:val="Char Char8"/>
    <w:autoRedefine/>
    <w:qFormat/>
    <w:uiPriority w:val="0"/>
    <w:rPr>
      <w:rFonts w:ascii="Arial" w:hAnsi="Arial" w:eastAsia="黑体"/>
      <w:b/>
      <w:bCs/>
      <w:kern w:val="2"/>
      <w:sz w:val="32"/>
      <w:szCs w:val="32"/>
      <w:lang w:val="en-US" w:eastAsia="zh-CN" w:bidi="ar-SA"/>
    </w:rPr>
  </w:style>
  <w:style w:type="character" w:customStyle="1" w:styleId="126">
    <w:name w:val="msg-box29"/>
    <w:basedOn w:val="48"/>
    <w:autoRedefine/>
    <w:qFormat/>
    <w:uiPriority w:val="0"/>
  </w:style>
  <w:style w:type="character" w:customStyle="1" w:styleId="127">
    <w:name w:val="over2"/>
    <w:autoRedefine/>
    <w:qFormat/>
    <w:uiPriority w:val="0"/>
    <w:rPr>
      <w:color w:val="999999"/>
    </w:rPr>
  </w:style>
  <w:style w:type="character" w:customStyle="1" w:styleId="128">
    <w:name w:val="img_title7"/>
    <w:autoRedefine/>
    <w:qFormat/>
    <w:uiPriority w:val="0"/>
    <w:rPr>
      <w:vanish/>
    </w:rPr>
  </w:style>
  <w:style w:type="character" w:customStyle="1" w:styleId="129">
    <w:name w:val="l7"/>
    <w:autoRedefine/>
    <w:qFormat/>
    <w:uiPriority w:val="0"/>
    <w:rPr>
      <w:color w:val="999999"/>
    </w:rPr>
  </w:style>
  <w:style w:type="character" w:customStyle="1" w:styleId="130">
    <w:name w:val="标题 5 Char"/>
    <w:link w:val="6"/>
    <w:autoRedefine/>
    <w:qFormat/>
    <w:uiPriority w:val="0"/>
    <w:rPr>
      <w:b/>
      <w:bCs/>
      <w:kern w:val="2"/>
      <w:sz w:val="28"/>
      <w:szCs w:val="28"/>
    </w:rPr>
  </w:style>
  <w:style w:type="character" w:customStyle="1" w:styleId="131">
    <w:name w:val="l51"/>
    <w:autoRedefine/>
    <w:qFormat/>
    <w:uiPriority w:val="0"/>
    <w:rPr>
      <w:color w:val="999999"/>
    </w:rPr>
  </w:style>
  <w:style w:type="character" w:customStyle="1" w:styleId="132">
    <w:name w:val="num81"/>
    <w:basedOn w:val="48"/>
    <w:autoRedefine/>
    <w:qFormat/>
    <w:uiPriority w:val="0"/>
  </w:style>
  <w:style w:type="character" w:customStyle="1" w:styleId="133">
    <w:name w:val="Char Char1"/>
    <w:autoRedefine/>
    <w:qFormat/>
    <w:uiPriority w:val="0"/>
    <w:rPr>
      <w:rFonts w:eastAsia="宋体"/>
      <w:kern w:val="2"/>
      <w:sz w:val="21"/>
      <w:szCs w:val="24"/>
      <w:lang w:val="en-US" w:eastAsia="zh-CN" w:bidi="ar-SA"/>
    </w:rPr>
  </w:style>
  <w:style w:type="character" w:customStyle="1" w:styleId="134">
    <w:name w:val="zs"/>
    <w:autoRedefine/>
    <w:qFormat/>
    <w:uiPriority w:val="0"/>
    <w:rPr>
      <w:color w:val="8D744B"/>
      <w:sz w:val="18"/>
      <w:szCs w:val="18"/>
    </w:rPr>
  </w:style>
  <w:style w:type="character" w:customStyle="1" w:styleId="135">
    <w:name w:val="bigfont"/>
    <w:basedOn w:val="48"/>
    <w:autoRedefine/>
    <w:qFormat/>
    <w:uiPriority w:val="0"/>
  </w:style>
  <w:style w:type="character" w:customStyle="1" w:styleId="136">
    <w:name w:val="txt"/>
    <w:autoRedefine/>
    <w:qFormat/>
    <w:uiPriority w:val="0"/>
    <w:rPr>
      <w:color w:val="C0C0C0"/>
    </w:rPr>
  </w:style>
  <w:style w:type="character" w:customStyle="1" w:styleId="137">
    <w:name w:val="纯文本 Char2"/>
    <w:link w:val="25"/>
    <w:autoRedefine/>
    <w:qFormat/>
    <w:uiPriority w:val="0"/>
    <w:rPr>
      <w:rFonts w:ascii="Courier New" w:hAnsi="Courier New" w:eastAsia="宋体"/>
      <w:kern w:val="2"/>
      <w:sz w:val="21"/>
      <w:lang w:val="en-US" w:eastAsia="zh-CN" w:bidi="ar-SA"/>
    </w:rPr>
  </w:style>
  <w:style w:type="character" w:customStyle="1" w:styleId="138">
    <w:name w:val="jg"/>
    <w:basedOn w:val="48"/>
    <w:autoRedefine/>
    <w:qFormat/>
    <w:uiPriority w:val="0"/>
  </w:style>
  <w:style w:type="character" w:customStyle="1" w:styleId="139">
    <w:name w:val="17"/>
    <w:autoRedefine/>
    <w:qFormat/>
    <w:uiPriority w:val="0"/>
    <w:rPr>
      <w:rFonts w:ascii="仿宋_GB2312" w:eastAsia="仿宋_GB2312"/>
      <w:color w:val="auto"/>
      <w:sz w:val="28"/>
      <w:szCs w:val="28"/>
      <w:u w:val="single"/>
    </w:rPr>
  </w:style>
  <w:style w:type="character" w:customStyle="1" w:styleId="140">
    <w:name w:val="job"/>
    <w:basedOn w:val="48"/>
    <w:autoRedefine/>
    <w:qFormat/>
    <w:uiPriority w:val="0"/>
  </w:style>
  <w:style w:type="character" w:customStyle="1" w:styleId="141">
    <w:name w:val="job1"/>
    <w:basedOn w:val="48"/>
    <w:autoRedefine/>
    <w:qFormat/>
    <w:uiPriority w:val="0"/>
  </w:style>
  <w:style w:type="character" w:customStyle="1" w:styleId="142">
    <w:name w:val="标题 2 Char"/>
    <w:autoRedefine/>
    <w:qFormat/>
    <w:uiPriority w:val="0"/>
    <w:rPr>
      <w:rFonts w:ascii="Arial" w:hAnsi="Arial" w:eastAsia="黑体"/>
      <w:b/>
      <w:bCs/>
      <w:kern w:val="2"/>
      <w:sz w:val="21"/>
      <w:szCs w:val="32"/>
      <w:lang w:val="en-US" w:eastAsia="zh-CN" w:bidi="ar-SA"/>
    </w:rPr>
  </w:style>
  <w:style w:type="character" w:customStyle="1" w:styleId="143">
    <w:name w:val="正文文本 Char"/>
    <w:link w:val="20"/>
    <w:autoRedefine/>
    <w:qFormat/>
    <w:uiPriority w:val="0"/>
    <w:rPr>
      <w:rFonts w:eastAsia="宋体"/>
      <w:kern w:val="2"/>
      <w:sz w:val="21"/>
      <w:szCs w:val="24"/>
      <w:lang w:val="en-US" w:eastAsia="zh-CN" w:bidi="ar-SA"/>
    </w:rPr>
  </w:style>
  <w:style w:type="character" w:customStyle="1" w:styleId="144">
    <w:name w:val="p05"/>
    <w:basedOn w:val="48"/>
    <w:autoRedefine/>
    <w:qFormat/>
    <w:uiPriority w:val="0"/>
  </w:style>
  <w:style w:type="character" w:customStyle="1" w:styleId="145">
    <w:name w:val="Char Char7"/>
    <w:autoRedefine/>
    <w:qFormat/>
    <w:uiPriority w:val="0"/>
    <w:rPr>
      <w:rFonts w:ascii="Arial" w:hAnsi="Arial" w:eastAsia="黑体"/>
      <w:b/>
      <w:bCs/>
      <w:kern w:val="2"/>
      <w:sz w:val="32"/>
      <w:szCs w:val="32"/>
      <w:lang w:val="en-US" w:eastAsia="zh-CN" w:bidi="ar-SA"/>
    </w:rPr>
  </w:style>
  <w:style w:type="character" w:customStyle="1" w:styleId="146">
    <w:name w:val="over3"/>
    <w:basedOn w:val="48"/>
    <w:autoRedefine/>
    <w:qFormat/>
    <w:uiPriority w:val="0"/>
  </w:style>
  <w:style w:type="character" w:customStyle="1" w:styleId="147">
    <w:name w:val="Char Char3"/>
    <w:autoRedefine/>
    <w:qFormat/>
    <w:uiPriority w:val="0"/>
    <w:rPr>
      <w:rFonts w:ascii="Arial" w:hAnsi="Arial" w:eastAsia="黑体"/>
      <w:b/>
      <w:bCs/>
      <w:kern w:val="2"/>
      <w:sz w:val="32"/>
      <w:szCs w:val="32"/>
      <w:lang w:val="en-US" w:eastAsia="zh-CN" w:bidi="ar-SA"/>
    </w:rPr>
  </w:style>
  <w:style w:type="character" w:customStyle="1" w:styleId="148">
    <w:name w:val="Char Char71"/>
    <w:autoRedefine/>
    <w:qFormat/>
    <w:uiPriority w:val="0"/>
    <w:rPr>
      <w:rFonts w:ascii="Arial" w:hAnsi="Arial" w:eastAsia="黑体"/>
      <w:b/>
      <w:bCs/>
      <w:kern w:val="2"/>
      <w:sz w:val="32"/>
      <w:szCs w:val="32"/>
      <w:lang w:val="en-US" w:eastAsia="zh-CN" w:bidi="ar-SA"/>
    </w:rPr>
  </w:style>
  <w:style w:type="character" w:customStyle="1" w:styleId="149">
    <w:name w:val="num51"/>
    <w:basedOn w:val="48"/>
    <w:autoRedefine/>
    <w:qFormat/>
    <w:uiPriority w:val="0"/>
  </w:style>
  <w:style w:type="character" w:customStyle="1" w:styleId="150">
    <w:name w:val="Char Char Char"/>
    <w:autoRedefine/>
    <w:qFormat/>
    <w:uiPriority w:val="0"/>
    <w:rPr>
      <w:rFonts w:eastAsia="宋体"/>
      <w:b/>
      <w:bCs/>
      <w:kern w:val="44"/>
      <w:sz w:val="44"/>
      <w:szCs w:val="44"/>
      <w:lang w:val="en-US" w:eastAsia="zh-CN" w:bidi="ar-SA"/>
    </w:rPr>
  </w:style>
  <w:style w:type="character" w:customStyle="1" w:styleId="151">
    <w:name w:val="msg-box31"/>
    <w:basedOn w:val="48"/>
    <w:autoRedefine/>
    <w:qFormat/>
    <w:uiPriority w:val="0"/>
  </w:style>
  <w:style w:type="character" w:customStyle="1" w:styleId="152">
    <w:name w:val="msg-box30"/>
    <w:basedOn w:val="48"/>
    <w:autoRedefine/>
    <w:qFormat/>
    <w:uiPriority w:val="0"/>
  </w:style>
  <w:style w:type="character" w:customStyle="1" w:styleId="153">
    <w:name w:val="标题 1 Char Char"/>
    <w:autoRedefine/>
    <w:qFormat/>
    <w:uiPriority w:val="0"/>
    <w:rPr>
      <w:rFonts w:eastAsia="宋体"/>
      <w:b/>
      <w:bCs/>
      <w:kern w:val="44"/>
      <w:sz w:val="44"/>
      <w:szCs w:val="44"/>
      <w:lang w:val="en-US" w:eastAsia="zh-CN" w:bidi="ar-SA"/>
    </w:rPr>
  </w:style>
  <w:style w:type="character" w:customStyle="1" w:styleId="154">
    <w:name w:val="标题 3 Char"/>
    <w:link w:val="2"/>
    <w:autoRedefine/>
    <w:qFormat/>
    <w:uiPriority w:val="0"/>
    <w:rPr>
      <w:b/>
      <w:bCs/>
      <w:sz w:val="32"/>
      <w:szCs w:val="32"/>
    </w:rPr>
  </w:style>
  <w:style w:type="character" w:customStyle="1" w:styleId="155">
    <w:name w:val="c1"/>
    <w:basedOn w:val="48"/>
    <w:autoRedefine/>
    <w:qFormat/>
    <w:uiPriority w:val="0"/>
  </w:style>
  <w:style w:type="character" w:customStyle="1" w:styleId="156">
    <w:name w:val="纯文本 Char1"/>
    <w:autoRedefine/>
    <w:qFormat/>
    <w:uiPriority w:val="0"/>
    <w:rPr>
      <w:rFonts w:ascii="Courier New" w:hAnsi="Courier New" w:eastAsia="宋体"/>
      <w:kern w:val="2"/>
      <w:sz w:val="21"/>
      <w:lang w:val="en-US" w:eastAsia="zh-CN" w:bidi="ar-SA"/>
    </w:rPr>
  </w:style>
  <w:style w:type="character" w:customStyle="1" w:styleId="157">
    <w:name w:val="Char Char Char1"/>
    <w:autoRedefine/>
    <w:qFormat/>
    <w:uiPriority w:val="0"/>
    <w:rPr>
      <w:rFonts w:ascii="Arial" w:hAnsi="Arial" w:eastAsia="黑体"/>
      <w:b/>
      <w:bCs/>
      <w:kern w:val="2"/>
      <w:sz w:val="32"/>
      <w:szCs w:val="32"/>
      <w:lang w:val="en-US" w:eastAsia="zh-CN" w:bidi="ar-SA"/>
    </w:rPr>
  </w:style>
  <w:style w:type="character" w:customStyle="1" w:styleId="158">
    <w:name w:val="l3"/>
    <w:autoRedefine/>
    <w:qFormat/>
    <w:uiPriority w:val="0"/>
    <w:rPr>
      <w:color w:val="999999"/>
    </w:rPr>
  </w:style>
  <w:style w:type="character" w:customStyle="1" w:styleId="159">
    <w:name w:val="tit14"/>
    <w:autoRedefine/>
    <w:qFormat/>
    <w:uiPriority w:val="0"/>
    <w:rPr>
      <w:color w:val="B60000"/>
    </w:rPr>
  </w:style>
  <w:style w:type="character" w:customStyle="1" w:styleId="160">
    <w:name w:val="tit10"/>
    <w:autoRedefine/>
    <w:qFormat/>
    <w:uiPriority w:val="0"/>
    <w:rPr>
      <w:color w:val="B60000"/>
    </w:rPr>
  </w:style>
  <w:style w:type="character" w:customStyle="1" w:styleId="161">
    <w:name w:val="l21"/>
    <w:autoRedefine/>
    <w:qFormat/>
    <w:uiPriority w:val="0"/>
    <w:rPr>
      <w:color w:val="999999"/>
    </w:rPr>
  </w:style>
  <w:style w:type="character" w:customStyle="1" w:styleId="162">
    <w:name w:val="num71"/>
    <w:basedOn w:val="48"/>
    <w:autoRedefine/>
    <w:qFormat/>
    <w:uiPriority w:val="0"/>
  </w:style>
  <w:style w:type="character" w:customStyle="1" w:styleId="163">
    <w:name w:val="标题 2 Char Char"/>
    <w:autoRedefine/>
    <w:qFormat/>
    <w:uiPriority w:val="0"/>
    <w:rPr>
      <w:rFonts w:ascii="Arial" w:hAnsi="Arial" w:eastAsia="黑体"/>
      <w:b/>
      <w:bCs/>
      <w:kern w:val="2"/>
      <w:sz w:val="32"/>
      <w:szCs w:val="32"/>
      <w:lang w:val="en-US" w:eastAsia="zh-CN" w:bidi="ar-SA"/>
    </w:rPr>
  </w:style>
  <w:style w:type="character" w:customStyle="1" w:styleId="164">
    <w:name w:val="buvis"/>
    <w:autoRedefine/>
    <w:qFormat/>
    <w:uiPriority w:val="0"/>
    <w:rPr>
      <w:color w:val="999999"/>
    </w:rPr>
  </w:style>
  <w:style w:type="character" w:customStyle="1" w:styleId="165">
    <w:name w:val="name"/>
    <w:autoRedefine/>
    <w:qFormat/>
    <w:uiPriority w:val="0"/>
    <w:rPr>
      <w:color w:val="444444"/>
      <w:sz w:val="21"/>
      <w:szCs w:val="21"/>
    </w:rPr>
  </w:style>
  <w:style w:type="character" w:customStyle="1" w:styleId="166">
    <w:name w:val="layui-this"/>
    <w:autoRedefine/>
    <w:qFormat/>
    <w:uiPriority w:val="0"/>
    <w:rPr>
      <w:bdr w:val="single" w:color="EEEEEE" w:sz="6" w:space="0"/>
      <w:shd w:val="clear" w:color="auto" w:fill="FFFFFF"/>
    </w:rPr>
  </w:style>
  <w:style w:type="character" w:customStyle="1" w:styleId="167">
    <w:name w:val="标题 2 Char1"/>
    <w:autoRedefine/>
    <w:qFormat/>
    <w:uiPriority w:val="0"/>
    <w:rPr>
      <w:rFonts w:ascii="Arial" w:hAnsi="Arial" w:eastAsia="黑体"/>
      <w:b/>
      <w:bCs/>
      <w:kern w:val="2"/>
      <w:sz w:val="32"/>
      <w:szCs w:val="32"/>
      <w:lang w:val="en-US" w:eastAsia="zh-CN" w:bidi="ar-SA"/>
    </w:rPr>
  </w:style>
  <w:style w:type="character" w:customStyle="1" w:styleId="168">
    <w:name w:val="zw"/>
    <w:autoRedefine/>
    <w:qFormat/>
    <w:uiPriority w:val="0"/>
    <w:rPr>
      <w:color w:val="BD1E22"/>
      <w:sz w:val="22"/>
      <w:szCs w:val="22"/>
    </w:rPr>
  </w:style>
  <w:style w:type="character" w:customStyle="1" w:styleId="169">
    <w:name w:val="name1"/>
    <w:autoRedefine/>
    <w:qFormat/>
    <w:uiPriority w:val="0"/>
    <w:rPr>
      <w:color w:val="695435"/>
      <w:sz w:val="24"/>
      <w:szCs w:val="24"/>
    </w:rPr>
  </w:style>
  <w:style w:type="character" w:customStyle="1" w:styleId="170">
    <w:name w:val="num61"/>
    <w:basedOn w:val="48"/>
    <w:autoRedefine/>
    <w:qFormat/>
    <w:uiPriority w:val="0"/>
  </w:style>
  <w:style w:type="character" w:customStyle="1" w:styleId="171">
    <w:name w:val="mesg-myd"/>
    <w:autoRedefine/>
    <w:qFormat/>
    <w:uiPriority w:val="0"/>
    <w:rPr>
      <w:color w:val="EE0000"/>
    </w:rPr>
  </w:style>
  <w:style w:type="character" w:customStyle="1" w:styleId="172">
    <w:name w:val="c2"/>
    <w:basedOn w:val="48"/>
    <w:autoRedefine/>
    <w:qFormat/>
    <w:uiPriority w:val="0"/>
  </w:style>
  <w:style w:type="character" w:customStyle="1" w:styleId="173">
    <w:name w:val="c3"/>
    <w:basedOn w:val="48"/>
    <w:autoRedefine/>
    <w:qFormat/>
    <w:uiPriority w:val="0"/>
  </w:style>
  <w:style w:type="character" w:customStyle="1" w:styleId="174">
    <w:name w:val="over1"/>
    <w:autoRedefine/>
    <w:qFormat/>
    <w:uiPriority w:val="0"/>
    <w:rPr>
      <w:color w:val="B60000"/>
    </w:rPr>
  </w:style>
  <w:style w:type="character" w:customStyle="1" w:styleId="175">
    <w:name w:val="tit13"/>
    <w:autoRedefine/>
    <w:qFormat/>
    <w:uiPriority w:val="0"/>
    <w:rPr>
      <w:color w:val="FFFFFF"/>
    </w:rPr>
  </w:style>
  <w:style w:type="character" w:customStyle="1" w:styleId="176">
    <w:name w:val="Char Char21"/>
    <w:autoRedefine/>
    <w:qFormat/>
    <w:uiPriority w:val="0"/>
    <w:rPr>
      <w:rFonts w:eastAsia="宋体"/>
      <w:kern w:val="2"/>
      <w:sz w:val="21"/>
      <w:szCs w:val="24"/>
      <w:lang w:val="en-US" w:eastAsia="zh-CN" w:bidi="ar-SA"/>
    </w:rPr>
  </w:style>
  <w:style w:type="character" w:customStyle="1" w:styleId="177">
    <w:name w:val="l41"/>
    <w:autoRedefine/>
    <w:qFormat/>
    <w:uiPriority w:val="0"/>
    <w:rPr>
      <w:color w:val="999999"/>
    </w:rPr>
  </w:style>
  <w:style w:type="character" w:customStyle="1" w:styleId="178">
    <w:name w:val="16"/>
    <w:autoRedefine/>
    <w:qFormat/>
    <w:uiPriority w:val="0"/>
    <w:rPr>
      <w:rFonts w:ascii="仿宋_GB2312" w:eastAsia="仿宋_GB2312"/>
      <w:color w:val="auto"/>
      <w:sz w:val="28"/>
      <w:szCs w:val="28"/>
    </w:rPr>
  </w:style>
  <w:style w:type="character" w:customStyle="1" w:styleId="179">
    <w:name w:val="num31"/>
    <w:basedOn w:val="48"/>
    <w:autoRedefine/>
    <w:qFormat/>
    <w:uiPriority w:val="0"/>
  </w:style>
  <w:style w:type="character" w:customStyle="1" w:styleId="180">
    <w:name w:val="starting4"/>
    <w:basedOn w:val="48"/>
    <w:autoRedefine/>
    <w:qFormat/>
    <w:uiPriority w:val="0"/>
  </w:style>
  <w:style w:type="character" w:customStyle="1" w:styleId="181">
    <w:name w:val="bsharetext"/>
    <w:basedOn w:val="48"/>
    <w:autoRedefine/>
    <w:qFormat/>
    <w:uiPriority w:val="0"/>
  </w:style>
  <w:style w:type="character" w:customStyle="1" w:styleId="182">
    <w:name w:val="unit"/>
    <w:autoRedefine/>
    <w:qFormat/>
    <w:uiPriority w:val="0"/>
    <w:rPr>
      <w:color w:val="999999"/>
    </w:rPr>
  </w:style>
  <w:style w:type="character" w:customStyle="1" w:styleId="183">
    <w:name w:val="nostart2"/>
    <w:autoRedefine/>
    <w:qFormat/>
    <w:uiPriority w:val="0"/>
    <w:rPr>
      <w:color w:val="B60000"/>
    </w:rPr>
  </w:style>
  <w:style w:type="character" w:customStyle="1" w:styleId="184">
    <w:name w:val="纯文本 Char"/>
    <w:autoRedefine/>
    <w:qFormat/>
    <w:uiPriority w:val="99"/>
    <w:rPr>
      <w:rFonts w:ascii="Courier New" w:hAnsi="Courier New" w:eastAsia="宋体"/>
      <w:kern w:val="2"/>
      <w:sz w:val="21"/>
      <w:lang w:val="en-US" w:eastAsia="zh-CN" w:bidi="ar-SA"/>
    </w:rPr>
  </w:style>
  <w:style w:type="character" w:customStyle="1" w:styleId="185">
    <w:name w:val="Char Char81"/>
    <w:autoRedefine/>
    <w:qFormat/>
    <w:uiPriority w:val="0"/>
    <w:rPr>
      <w:rFonts w:ascii="Arial" w:hAnsi="Arial" w:eastAsia="黑体"/>
      <w:b/>
      <w:bCs/>
      <w:kern w:val="2"/>
      <w:sz w:val="32"/>
      <w:szCs w:val="32"/>
      <w:lang w:val="en-US" w:eastAsia="zh-CN" w:bidi="ar-SA"/>
    </w:rPr>
  </w:style>
  <w:style w:type="character" w:customStyle="1" w:styleId="186">
    <w:name w:val="starting"/>
    <w:autoRedefine/>
    <w:qFormat/>
    <w:uiPriority w:val="0"/>
    <w:rPr>
      <w:color w:val="339900"/>
    </w:rPr>
  </w:style>
  <w:style w:type="character" w:customStyle="1" w:styleId="187">
    <w:name w:val="nostart1"/>
    <w:autoRedefine/>
    <w:qFormat/>
    <w:uiPriority w:val="0"/>
    <w:rPr>
      <w:color w:val="FF0000"/>
    </w:rPr>
  </w:style>
  <w:style w:type="character" w:customStyle="1" w:styleId="188">
    <w:name w:val="num210"/>
    <w:basedOn w:val="48"/>
    <w:autoRedefine/>
    <w:qFormat/>
    <w:uiPriority w:val="0"/>
  </w:style>
  <w:style w:type="character" w:customStyle="1" w:styleId="189">
    <w:name w:val="buvis1"/>
    <w:autoRedefine/>
    <w:qFormat/>
    <w:uiPriority w:val="0"/>
    <w:rPr>
      <w:color w:val="CC0000"/>
    </w:rPr>
  </w:style>
  <w:style w:type="character" w:customStyle="1" w:styleId="190">
    <w:name w:val="starting3"/>
    <w:basedOn w:val="48"/>
    <w:autoRedefine/>
    <w:qFormat/>
    <w:uiPriority w:val="0"/>
  </w:style>
  <w:style w:type="character" w:customStyle="1" w:styleId="191">
    <w:name w:val="textcontents"/>
    <w:basedOn w:val="48"/>
    <w:autoRedefine/>
    <w:qFormat/>
    <w:uiPriority w:val="0"/>
  </w:style>
  <w:style w:type="character" w:customStyle="1" w:styleId="192">
    <w:name w:val="num41"/>
    <w:basedOn w:val="48"/>
    <w:autoRedefine/>
    <w:qFormat/>
    <w:uiPriority w:val="0"/>
  </w:style>
  <w:style w:type="character" w:customStyle="1" w:styleId="193">
    <w:name w:val="tit9"/>
    <w:autoRedefine/>
    <w:qFormat/>
    <w:uiPriority w:val="0"/>
    <w:rPr>
      <w:color w:val="B60000"/>
      <w:sz w:val="27"/>
      <w:szCs w:val="27"/>
      <w:bdr w:val="single" w:color="DFCEB8" w:sz="6" w:space="0"/>
      <w:shd w:val="clear" w:color="auto" w:fill="FFFFFF"/>
    </w:rPr>
  </w:style>
  <w:style w:type="character" w:customStyle="1" w:styleId="194">
    <w:name w:val="name2"/>
    <w:autoRedefine/>
    <w:qFormat/>
    <w:uiPriority w:val="0"/>
    <w:rPr>
      <w:color w:val="000000"/>
      <w:sz w:val="39"/>
      <w:szCs w:val="39"/>
    </w:rPr>
  </w:style>
  <w:style w:type="character" w:customStyle="1" w:styleId="195">
    <w:name w:val="img_title8"/>
    <w:autoRedefine/>
    <w:qFormat/>
    <w:uiPriority w:val="0"/>
    <w:rPr>
      <w:vanish/>
    </w:rPr>
  </w:style>
  <w:style w:type="character" w:customStyle="1" w:styleId="196">
    <w:name w:val="tit15"/>
    <w:autoRedefine/>
    <w:qFormat/>
    <w:uiPriority w:val="0"/>
    <w:rPr>
      <w:b/>
      <w:color w:val="B60000"/>
    </w:rPr>
  </w:style>
  <w:style w:type="character" w:customStyle="1" w:styleId="197">
    <w:name w:val="img_title9"/>
    <w:autoRedefine/>
    <w:qFormat/>
    <w:uiPriority w:val="0"/>
    <w:rPr>
      <w:vanish/>
    </w:rPr>
  </w:style>
  <w:style w:type="character" w:customStyle="1" w:styleId="198">
    <w:name w:val="标题 2 Char2"/>
    <w:link w:val="4"/>
    <w:autoRedefine/>
    <w:qFormat/>
    <w:uiPriority w:val="0"/>
    <w:rPr>
      <w:rFonts w:ascii="Arial" w:hAnsi="Arial" w:eastAsia="黑体"/>
      <w:b/>
      <w:bCs/>
      <w:kern w:val="2"/>
      <w:sz w:val="21"/>
      <w:szCs w:val="32"/>
      <w:lang w:val="en-US" w:eastAsia="zh-CN" w:bidi="ar-SA"/>
    </w:rPr>
  </w:style>
  <w:style w:type="paragraph" w:customStyle="1" w:styleId="199">
    <w:name w:val="正文 New"/>
    <w:autoRedefine/>
    <w:qFormat/>
    <w:uiPriority w:val="0"/>
    <w:pPr>
      <w:widowControl w:val="0"/>
      <w:spacing w:line="440" w:lineRule="exact"/>
      <w:ind w:left="357" w:hanging="357"/>
      <w:jc w:val="both"/>
    </w:pPr>
    <w:rPr>
      <w:rFonts w:ascii="Calibri" w:hAnsi="Calibri" w:eastAsia="宋体" w:cs="Times New Roman"/>
      <w:kern w:val="2"/>
      <w:sz w:val="21"/>
      <w:szCs w:val="22"/>
      <w:lang w:val="en-US" w:eastAsia="zh-CN" w:bidi="ar-SA"/>
    </w:rPr>
  </w:style>
  <w:style w:type="character" w:customStyle="1" w:styleId="200">
    <w:name w:val="font12"/>
    <w:basedOn w:val="48"/>
    <w:autoRedefine/>
    <w:qFormat/>
    <w:uiPriority w:val="0"/>
    <w:rPr>
      <w:rFonts w:hint="eastAsia" w:ascii="仿宋" w:hAnsi="仿宋" w:eastAsia="仿宋" w:cs="仿宋"/>
      <w:b/>
      <w:color w:val="000000"/>
      <w:sz w:val="32"/>
      <w:szCs w:val="32"/>
      <w:u w:val="none"/>
    </w:rPr>
  </w:style>
  <w:style w:type="character" w:customStyle="1" w:styleId="201">
    <w:name w:val="font101"/>
    <w:basedOn w:val="48"/>
    <w:autoRedefine/>
    <w:qFormat/>
    <w:uiPriority w:val="0"/>
    <w:rPr>
      <w:rFonts w:hint="default" w:ascii="Times New Roman" w:hAnsi="Times New Roman" w:cs="Times New Roman"/>
      <w:color w:val="000000"/>
      <w:sz w:val="24"/>
      <w:szCs w:val="24"/>
      <w:u w:val="none"/>
    </w:rPr>
  </w:style>
  <w:style w:type="character" w:customStyle="1" w:styleId="202">
    <w:name w:val="font111"/>
    <w:basedOn w:val="48"/>
    <w:autoRedefine/>
    <w:qFormat/>
    <w:uiPriority w:val="0"/>
    <w:rPr>
      <w:rFonts w:ascii="仿宋_GB2312" w:eastAsia="仿宋_GB2312" w:cs="仿宋_GB2312"/>
      <w:color w:val="000000"/>
      <w:sz w:val="24"/>
      <w:szCs w:val="24"/>
      <w:u w:val="none"/>
    </w:rPr>
  </w:style>
  <w:style w:type="character" w:customStyle="1" w:styleId="203">
    <w:name w:val="font91"/>
    <w:basedOn w:val="48"/>
    <w:autoRedefine/>
    <w:qFormat/>
    <w:uiPriority w:val="0"/>
    <w:rPr>
      <w:rFonts w:hint="eastAsia" w:ascii="仿宋" w:hAnsi="仿宋" w:eastAsia="仿宋" w:cs="仿宋"/>
      <w:color w:val="000000"/>
      <w:sz w:val="24"/>
      <w:szCs w:val="24"/>
      <w:u w:val="single"/>
    </w:rPr>
  </w:style>
  <w:style w:type="character" w:customStyle="1" w:styleId="204">
    <w:name w:val="font81"/>
    <w:basedOn w:val="48"/>
    <w:autoRedefine/>
    <w:qFormat/>
    <w:uiPriority w:val="0"/>
    <w:rPr>
      <w:rFonts w:hint="default" w:ascii="Times New Roman" w:hAnsi="Times New Roman" w:cs="Times New Roman"/>
      <w:color w:val="000000"/>
      <w:sz w:val="24"/>
      <w:szCs w:val="24"/>
      <w:u w:val="none"/>
    </w:rPr>
  </w:style>
  <w:style w:type="character" w:customStyle="1" w:styleId="205">
    <w:name w:val="font61"/>
    <w:basedOn w:val="48"/>
    <w:autoRedefine/>
    <w:qFormat/>
    <w:uiPriority w:val="0"/>
    <w:rPr>
      <w:rFonts w:hint="eastAsia" w:ascii="仿宋_GB2312" w:eastAsia="仿宋_GB2312" w:cs="仿宋_GB2312"/>
      <w:color w:val="000000"/>
      <w:sz w:val="24"/>
      <w:szCs w:val="24"/>
      <w:u w:val="none"/>
    </w:rPr>
  </w:style>
  <w:style w:type="character" w:customStyle="1" w:styleId="206">
    <w:name w:val="font21"/>
    <w:basedOn w:val="48"/>
    <w:autoRedefine/>
    <w:qFormat/>
    <w:uiPriority w:val="0"/>
    <w:rPr>
      <w:rFonts w:hint="default" w:ascii="Times New Roman" w:hAnsi="Times New Roman" w:cs="Times New Roman"/>
      <w:color w:val="000000"/>
      <w:sz w:val="24"/>
      <w:szCs w:val="24"/>
      <w:u w:val="none"/>
    </w:rPr>
  </w:style>
  <w:style w:type="character" w:customStyle="1" w:styleId="207">
    <w:name w:val="NormalCharacter"/>
    <w:autoRedefine/>
    <w:semiHidden/>
    <w:qFormat/>
    <w:uiPriority w:val="0"/>
    <w:rPr>
      <w:snapToGrid w:val="0"/>
      <w:kern w:val="0"/>
      <w:sz w:val="32"/>
      <w:szCs w:val="32"/>
      <w:lang w:val="en-US" w:eastAsia="zh-CN" w:bidi="ar-SA"/>
    </w:rPr>
  </w:style>
  <w:style w:type="character" w:customStyle="1" w:styleId="208">
    <w:name w:val="first-child1"/>
    <w:basedOn w:val="48"/>
    <w:autoRedefine/>
    <w:qFormat/>
    <w:uiPriority w:val="0"/>
  </w:style>
  <w:style w:type="character" w:customStyle="1" w:styleId="209">
    <w:name w:val="hover1"/>
    <w:basedOn w:val="48"/>
    <w:autoRedefine/>
    <w:qFormat/>
    <w:uiPriority w:val="0"/>
    <w:rPr>
      <w:color w:val="2590EB"/>
    </w:rPr>
  </w:style>
  <w:style w:type="character" w:customStyle="1" w:styleId="210">
    <w:name w:val="hover2"/>
    <w:basedOn w:val="48"/>
    <w:autoRedefine/>
    <w:qFormat/>
    <w:uiPriority w:val="0"/>
  </w:style>
  <w:style w:type="character" w:customStyle="1" w:styleId="211">
    <w:name w:val="hover3"/>
    <w:basedOn w:val="48"/>
    <w:autoRedefine/>
    <w:qFormat/>
    <w:uiPriority w:val="0"/>
    <w:rPr>
      <w:color w:val="2590EB"/>
    </w:rPr>
  </w:style>
  <w:style w:type="character" w:customStyle="1" w:styleId="212">
    <w:name w:val="hover4"/>
    <w:basedOn w:val="48"/>
    <w:autoRedefine/>
    <w:qFormat/>
    <w:uiPriority w:val="0"/>
    <w:rPr>
      <w:color w:val="2590EB"/>
      <w:shd w:val="clear" w:fill="E9F4FD"/>
    </w:rPr>
  </w:style>
  <w:style w:type="character" w:customStyle="1" w:styleId="213">
    <w:name w:val="mini-outputtext1"/>
    <w:basedOn w:val="48"/>
    <w:autoRedefine/>
    <w:qFormat/>
    <w:uiPriority w:val="0"/>
  </w:style>
  <w:style w:type="character" w:customStyle="1" w:styleId="214">
    <w:name w:val="hover"/>
    <w:basedOn w:val="48"/>
    <w:autoRedefine/>
    <w:qFormat/>
    <w:uiPriority w:val="0"/>
    <w:rPr>
      <w:color w:val="2590E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B6A8AB-B2A1-4B55-8D10-16A16BEFEE1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79</Pages>
  <Words>35125</Words>
  <Characters>37111</Characters>
  <Lines>411</Lines>
  <Paragraphs>115</Paragraphs>
  <TotalTime>4</TotalTime>
  <ScaleCrop>false</ScaleCrop>
  <LinksUpToDate>false</LinksUpToDate>
  <CharactersWithSpaces>40086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2016-05-15T08:29:00Z</dcterms:created>
  <dc:creator>dengxiaochun</dc:creator>
  <cp:lastModifiedBy>陈晓金</cp:lastModifiedBy>
  <cp:lastPrinted>2023-06-08T00:43:00Z</cp:lastPrinted>
  <dcterms:modified xsi:type="dcterms:W3CDTF">2024-04-19T10:21:06Z</dcterms:modified>
  <dc:title>标准交易文件</dc:title>
  <cp:revision>328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F9E48ACAB74744089B63F086AE50E7D5_13</vt:lpwstr>
  </property>
</Properties>
</file>