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兴明矿业环山路地磅及洗车机及路面工程</w:t>
      </w:r>
    </w:p>
    <w:p>
      <w:pPr>
        <w:jc w:val="center"/>
        <w:rPr>
          <w:rFonts w:ascii="宋体" w:hAnsi="宋体" w:eastAsia="宋体" w:cs="宋体"/>
          <w:b/>
          <w:bCs/>
        </w:rPr>
      </w:pPr>
      <w:r>
        <w:rPr>
          <w:rFonts w:hint="eastAsia" w:ascii="宋体" w:hAnsi="宋体" w:eastAsia="宋体" w:cs="宋体"/>
          <w:b/>
          <w:bCs/>
          <w:sz w:val="36"/>
          <w:szCs w:val="36"/>
        </w:rPr>
        <w:t>最高投标限价编制说明</w:t>
      </w:r>
    </w:p>
    <w:p>
      <w:pPr>
        <w:autoSpaceDE w:val="0"/>
        <w:autoSpaceDN w:val="0"/>
        <w:snapToGrid w:val="0"/>
        <w:spacing w:line="360" w:lineRule="auto"/>
        <w:ind w:firstLine="482" w:firstLineChars="200"/>
        <w:jc w:val="left"/>
        <w:rPr>
          <w:rFonts w:ascii="宋体" w:hAnsi="宋体" w:eastAsia="宋体" w:cs="宋体"/>
          <w:b/>
          <w:sz w:val="24"/>
        </w:rPr>
      </w:pPr>
      <w:r>
        <w:rPr>
          <w:rFonts w:hint="eastAsia" w:ascii="宋体" w:hAnsi="宋体" w:eastAsia="宋体" w:cs="宋体"/>
          <w:b/>
          <w:sz w:val="24"/>
        </w:rPr>
        <w:t>一、工程概况</w:t>
      </w:r>
    </w:p>
    <w:p>
      <w:pPr>
        <w:snapToGrid w:val="0"/>
        <w:spacing w:line="360" w:lineRule="auto"/>
        <w:ind w:firstLine="480" w:firstLineChars="200"/>
        <w:rPr>
          <w:rFonts w:hint="eastAsia" w:ascii="宋体" w:hAnsi="宋体" w:eastAsia="宋体" w:cs="宋体"/>
          <w:b/>
          <w:sz w:val="24"/>
        </w:rPr>
      </w:pPr>
      <w:r>
        <w:rPr>
          <w:rFonts w:hint="eastAsia" w:ascii="宋体" w:hAnsi="宋体" w:eastAsia="宋体" w:cs="宋体"/>
          <w:sz w:val="24"/>
          <w:lang w:val="en-US" w:eastAsia="zh-CN"/>
        </w:rPr>
        <w:t>本工程为兴明矿业环山路地磅及洗车机及路面工程，主要包括洗车机、SCS-200型电子汽车衡及称重系统、交通设施、路基、路面等，具体详见工程量清单</w:t>
      </w:r>
      <w:r>
        <w:rPr>
          <w:rFonts w:hint="eastAsia" w:ascii="宋体" w:hAnsi="宋体" w:eastAsia="宋体" w:cs="宋体"/>
          <w:sz w:val="24"/>
        </w:rPr>
        <w:t>。</w:t>
      </w:r>
    </w:p>
    <w:p>
      <w:pPr>
        <w:snapToGrid w:val="0"/>
        <w:spacing w:line="360" w:lineRule="auto"/>
        <w:ind w:firstLine="482" w:firstLineChars="200"/>
        <w:rPr>
          <w:rFonts w:ascii="宋体" w:hAnsi="宋体" w:eastAsia="宋体" w:cs="宋体"/>
          <w:b/>
          <w:sz w:val="24"/>
        </w:rPr>
      </w:pPr>
      <w:r>
        <w:rPr>
          <w:rFonts w:hint="eastAsia" w:ascii="宋体" w:hAnsi="宋体" w:eastAsia="宋体" w:cs="宋体"/>
          <w:b/>
          <w:sz w:val="24"/>
        </w:rPr>
        <w:t>二、、编制依据</w:t>
      </w:r>
    </w:p>
    <w:p>
      <w:pPr>
        <w:snapToGrid w:val="0"/>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1</w:t>
      </w:r>
      <w:r>
        <w:rPr>
          <w:rFonts w:hint="eastAsia" w:ascii="宋体" w:hAnsi="宋体" w:eastAsia="宋体" w:cs="宋体"/>
          <w:sz w:val="24"/>
        </w:rPr>
        <w:t>、《建设工程工程量清单计价规范》GB50500-2013；</w:t>
      </w:r>
    </w:p>
    <w:p>
      <w:pPr>
        <w:snapToGrid w:val="0"/>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2</w:t>
      </w:r>
      <w:r>
        <w:rPr>
          <w:rFonts w:hint="eastAsia" w:ascii="宋体" w:hAnsi="宋体" w:eastAsia="宋体" w:cs="宋体"/>
          <w:sz w:val="24"/>
        </w:rPr>
        <w:t>、2018版计价：《安徽省建设工程工程量清单计价办法》、《安徽省建设工程费用定额》、《安徽省建设工程施工机械台班费用编制规则》、《安徽省建设工程计价定额(共用册）》、《安徽省建筑工程计价定额》、《安徽省装饰装修工程计价定额》、《安徽省安装工程计价定额》、《安徽省市政工程计价定额》、《安徽省园林绿化工程计价定额》、《2018版安徽省建设工程计价依据修订内容》等；</w:t>
      </w:r>
    </w:p>
    <w:p>
      <w:pPr>
        <w:snapToGrid w:val="0"/>
        <w:spacing w:line="360" w:lineRule="auto"/>
        <w:ind w:left="0" w:leftChars="0" w:firstLine="420" w:firstLineChars="175"/>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val="en-US" w:eastAsia="zh-CN"/>
        </w:rPr>
        <w:t>3</w:t>
      </w:r>
      <w:r>
        <w:rPr>
          <w:rFonts w:hint="eastAsia" w:ascii="宋体" w:hAnsi="宋体" w:eastAsia="宋体" w:cs="宋体"/>
          <w:sz w:val="24"/>
        </w:rPr>
        <w:t>、本工程材料价格依据202</w:t>
      </w:r>
      <w:r>
        <w:rPr>
          <w:rFonts w:hint="eastAsia" w:ascii="宋体" w:hAnsi="宋体" w:eastAsia="宋体" w:cs="宋体"/>
          <w:sz w:val="24"/>
          <w:lang w:val="en-US" w:eastAsia="zh-CN"/>
        </w:rPr>
        <w:t>4</w:t>
      </w:r>
      <w:r>
        <w:rPr>
          <w:rFonts w:hint="eastAsia" w:ascii="宋体" w:hAnsi="宋体" w:eastAsia="宋体" w:cs="宋体"/>
          <w:sz w:val="24"/>
        </w:rPr>
        <w:t>年第</w:t>
      </w:r>
      <w:r>
        <w:rPr>
          <w:rFonts w:hint="eastAsia" w:ascii="宋体" w:hAnsi="宋体" w:eastAsia="宋体" w:cs="宋体"/>
          <w:sz w:val="24"/>
          <w:lang w:val="en-US" w:eastAsia="zh-CN"/>
        </w:rPr>
        <w:t>3</w:t>
      </w:r>
      <w:r>
        <w:rPr>
          <w:rFonts w:hint="eastAsia" w:ascii="宋体" w:hAnsi="宋体" w:eastAsia="宋体" w:cs="宋体"/>
          <w:sz w:val="24"/>
        </w:rPr>
        <w:t>期《滁州工程造价信息》，无信息价部分根据市场</w:t>
      </w:r>
      <w:r>
        <w:rPr>
          <w:rFonts w:hint="eastAsia" w:ascii="宋体" w:hAnsi="宋体" w:eastAsia="宋体" w:cs="宋体"/>
          <w:sz w:val="24"/>
          <w:lang w:val="en-US" w:eastAsia="zh-CN"/>
        </w:rPr>
        <w:t>询</w:t>
      </w:r>
      <w:r>
        <w:rPr>
          <w:rFonts w:hint="eastAsia" w:ascii="宋体" w:hAnsi="宋体" w:eastAsia="宋体" w:cs="宋体"/>
          <w:sz w:val="24"/>
        </w:rPr>
        <w:t>价综合考虑；</w:t>
      </w:r>
    </w:p>
    <w:p>
      <w:pPr>
        <w:snapToGrid w:val="0"/>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4</w:t>
      </w:r>
      <w:r>
        <w:rPr>
          <w:rFonts w:hint="eastAsia" w:ascii="宋体" w:hAnsi="宋体" w:eastAsia="宋体" w:cs="宋体"/>
          <w:sz w:val="24"/>
        </w:rPr>
        <w:t>、人工费根据安徽省住建厅建标【2021】46号文，按</w:t>
      </w:r>
      <w:r>
        <w:rPr>
          <w:rFonts w:hint="eastAsia" w:ascii="宋体" w:hAnsi="宋体" w:eastAsia="宋体" w:cs="宋体"/>
          <w:sz w:val="24"/>
          <w:lang w:val="en-US" w:eastAsia="zh-CN"/>
        </w:rPr>
        <w:t>158</w:t>
      </w:r>
      <w:r>
        <w:rPr>
          <w:rFonts w:hint="eastAsia" w:ascii="宋体" w:hAnsi="宋体" w:eastAsia="宋体" w:cs="宋体"/>
          <w:sz w:val="24"/>
        </w:rPr>
        <w:t>元/工日计算；</w:t>
      </w:r>
    </w:p>
    <w:p>
      <w:pPr>
        <w:snapToGrid w:val="0"/>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5</w:t>
      </w:r>
      <w:r>
        <w:rPr>
          <w:rFonts w:hint="eastAsia" w:ascii="宋体" w:hAnsi="宋体" w:eastAsia="宋体" w:cs="宋体"/>
          <w:sz w:val="24"/>
        </w:rPr>
        <w:t>、本工程增值税税率执行安徽省造价[2019]7号文件；</w:t>
      </w:r>
    </w:p>
    <w:p>
      <w:pPr>
        <w:snapToGrid w:val="0"/>
        <w:spacing w:line="360" w:lineRule="auto"/>
        <w:ind w:firstLine="480" w:firstLineChars="200"/>
        <w:rPr>
          <w:rFonts w:ascii="宋体" w:hAnsi="宋体" w:eastAsia="宋体" w:cs="宋体"/>
          <w:sz w:val="24"/>
        </w:rPr>
      </w:pPr>
      <w:r>
        <w:rPr>
          <w:rFonts w:hint="eastAsia" w:ascii="宋体" w:hAnsi="宋体" w:eastAsia="宋体" w:cs="宋体"/>
          <w:sz w:val="24"/>
          <w:lang w:val="en-US" w:eastAsia="zh-CN"/>
        </w:rPr>
        <w:t>6</w:t>
      </w:r>
      <w:r>
        <w:rPr>
          <w:rFonts w:hint="eastAsia" w:ascii="宋体" w:hAnsi="宋体" w:eastAsia="宋体" w:cs="宋体"/>
          <w:sz w:val="24"/>
        </w:rPr>
        <w:t>、本工程不可竞争费费率执行建标〔2021〕42号文件；</w:t>
      </w:r>
    </w:p>
    <w:p>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7</w:t>
      </w:r>
      <w:r>
        <w:rPr>
          <w:rFonts w:hint="eastAsia" w:ascii="宋体" w:hAnsi="宋体" w:eastAsia="宋体" w:cs="宋体"/>
          <w:sz w:val="24"/>
        </w:rPr>
        <w:t>、截止202</w:t>
      </w:r>
      <w:r>
        <w:rPr>
          <w:rFonts w:hint="eastAsia" w:ascii="宋体" w:hAnsi="宋体" w:eastAsia="宋体" w:cs="宋体"/>
          <w:sz w:val="24"/>
          <w:lang w:val="en-US" w:eastAsia="zh-CN"/>
        </w:rPr>
        <w:t>4</w:t>
      </w:r>
      <w:r>
        <w:rPr>
          <w:rFonts w:hint="eastAsia" w:ascii="宋体" w:hAnsi="宋体" w:eastAsia="宋体" w:cs="宋体"/>
          <w:sz w:val="24"/>
        </w:rPr>
        <w:t>年</w:t>
      </w:r>
      <w:r>
        <w:rPr>
          <w:rFonts w:hint="eastAsia" w:ascii="宋体" w:hAnsi="宋体" w:eastAsia="宋体" w:cs="宋体"/>
          <w:sz w:val="24"/>
          <w:lang w:val="en-US" w:eastAsia="zh-CN"/>
        </w:rPr>
        <w:t>4</w:t>
      </w:r>
      <w:r>
        <w:rPr>
          <w:rFonts w:hint="eastAsia" w:ascii="宋体" w:hAnsi="宋体" w:eastAsia="宋体" w:cs="宋体"/>
          <w:sz w:val="24"/>
        </w:rPr>
        <w:t>月的省、市有关政策性文件。</w:t>
      </w:r>
    </w:p>
    <w:p>
      <w:pPr>
        <w:snapToGrid w:val="0"/>
        <w:spacing w:line="360" w:lineRule="auto"/>
        <w:ind w:firstLine="482" w:firstLineChars="200"/>
        <w:rPr>
          <w:rFonts w:hint="eastAsia" w:ascii="宋体" w:hAnsi="宋体" w:eastAsia="宋体" w:cs="宋体"/>
          <w:b/>
          <w:bCs/>
          <w:sz w:val="24"/>
          <w:shd w:val="clear" w:color="auto" w:fill="FFFFFF"/>
        </w:rPr>
      </w:pPr>
      <w:r>
        <w:rPr>
          <w:rFonts w:hint="eastAsia" w:ascii="宋体" w:hAnsi="宋体" w:eastAsia="宋体" w:cs="宋体"/>
          <w:b/>
          <w:bCs/>
          <w:sz w:val="24"/>
          <w:shd w:val="clear" w:color="auto" w:fill="FFFFFF"/>
          <w:lang w:val="en-US" w:eastAsia="zh-CN"/>
        </w:rPr>
        <w:t>三</w:t>
      </w:r>
      <w:r>
        <w:rPr>
          <w:rFonts w:hint="eastAsia" w:ascii="宋体" w:hAnsi="宋体" w:eastAsia="宋体" w:cs="宋体"/>
          <w:b/>
          <w:bCs/>
          <w:sz w:val="24"/>
          <w:shd w:val="clear" w:color="auto" w:fill="FFFFFF"/>
        </w:rPr>
        <w:t>、</w:t>
      </w:r>
      <w:r>
        <w:rPr>
          <w:rFonts w:hint="eastAsia" w:ascii="宋体" w:hAnsi="宋体" w:eastAsia="宋体" w:cs="宋体"/>
          <w:b/>
          <w:bCs/>
          <w:sz w:val="24"/>
          <w:shd w:val="clear" w:color="auto" w:fill="FFFFFF"/>
          <w:lang w:val="en-US" w:eastAsia="zh-CN"/>
        </w:rPr>
        <w:t>有关</w:t>
      </w:r>
      <w:r>
        <w:rPr>
          <w:rFonts w:hint="eastAsia" w:ascii="宋体" w:hAnsi="宋体" w:eastAsia="宋体" w:cs="宋体"/>
          <w:b/>
          <w:bCs/>
          <w:sz w:val="24"/>
          <w:shd w:val="clear" w:color="auto" w:fill="FFFFFF"/>
        </w:rPr>
        <w:t>说明</w:t>
      </w:r>
    </w:p>
    <w:p>
      <w:pPr>
        <w:pStyle w:val="2"/>
        <w:ind w:left="0" w:leftChars="0" w:firstLine="480" w:firstLineChars="0"/>
        <w:rPr>
          <w:rFonts w:hint="eastAsia" w:ascii="宋体"/>
          <w:sz w:val="24"/>
          <w:szCs w:val="24"/>
          <w:lang w:val="en-US" w:eastAsia="zh-CN"/>
        </w:rPr>
      </w:pPr>
      <w:r>
        <w:rPr>
          <w:rFonts w:hint="eastAsia" w:ascii="宋体"/>
          <w:sz w:val="24"/>
          <w:szCs w:val="24"/>
          <w:lang w:val="en-US" w:eastAsia="zh-CN"/>
        </w:rPr>
        <w:t>1、除非合同中另有规定，工程量清单中每一项单价均应已包括完成相应该项目的工程内容所有的人工、设备、材料和其他伴随服务所发生的所有费用。</w:t>
      </w:r>
    </w:p>
    <w:p>
      <w:pPr>
        <w:pStyle w:val="2"/>
        <w:ind w:left="0" w:leftChars="0" w:firstLine="480" w:firstLineChars="0"/>
        <w:rPr>
          <w:rFonts w:hint="default" w:ascii="宋体"/>
          <w:sz w:val="24"/>
          <w:szCs w:val="24"/>
          <w:lang w:val="en-US" w:eastAsia="zh-CN"/>
        </w:rPr>
      </w:pPr>
      <w:r>
        <w:rPr>
          <w:rFonts w:hint="eastAsia" w:ascii="宋体"/>
          <w:sz w:val="24"/>
          <w:szCs w:val="24"/>
          <w:lang w:val="en-US" w:eastAsia="zh-CN"/>
        </w:rPr>
        <w:t>2、本项目暂列金额按5万元计入。</w:t>
      </w:r>
    </w:p>
    <w:p>
      <w:pPr>
        <w:snapToGrid w:val="0"/>
        <w:spacing w:line="360" w:lineRule="auto"/>
        <w:ind w:firstLine="482" w:firstLineChars="200"/>
        <w:rPr>
          <w:rFonts w:ascii="宋体" w:hAnsi="宋体" w:eastAsia="宋体" w:cs="宋体"/>
          <w:b/>
          <w:sz w:val="24"/>
        </w:rPr>
      </w:pPr>
      <w:r>
        <w:rPr>
          <w:rFonts w:hint="eastAsia" w:ascii="宋体" w:hAnsi="宋体" w:eastAsia="宋体" w:cs="宋体"/>
          <w:b/>
          <w:sz w:val="24"/>
          <w:lang w:val="en-US" w:eastAsia="zh-CN"/>
        </w:rPr>
        <w:t>四</w:t>
      </w:r>
      <w:r>
        <w:rPr>
          <w:rFonts w:hint="eastAsia" w:ascii="宋体" w:hAnsi="宋体" w:eastAsia="宋体" w:cs="宋体"/>
          <w:b/>
          <w:sz w:val="24"/>
        </w:rPr>
        <w:t>、编制结论</w:t>
      </w:r>
    </w:p>
    <w:p>
      <w:pPr>
        <w:snapToGrid w:val="0"/>
        <w:spacing w:line="360" w:lineRule="auto"/>
        <w:ind w:firstLine="555"/>
        <w:rPr>
          <w:rFonts w:ascii="宋体" w:hAnsi="宋体" w:eastAsia="宋体" w:cs="宋体"/>
          <w:sz w:val="24"/>
        </w:rPr>
      </w:pPr>
      <w:r>
        <w:rPr>
          <w:rFonts w:hint="eastAsia" w:ascii="宋体" w:hAnsi="宋体" w:eastAsia="宋体" w:cs="宋体"/>
          <w:sz w:val="24"/>
        </w:rPr>
        <w:t xml:space="preserve">本工程控制价为： </w:t>
      </w:r>
    </w:p>
    <w:p>
      <w:pPr>
        <w:snapToGrid w:val="0"/>
        <w:spacing w:line="360" w:lineRule="auto"/>
        <w:ind w:firstLine="555"/>
        <w:rPr>
          <w:rFonts w:hint="eastAsia" w:ascii="宋体" w:hAnsi="宋体" w:eastAsia="宋体" w:cs="宋体"/>
          <w:sz w:val="24"/>
        </w:rPr>
      </w:pPr>
      <w:r>
        <w:rPr>
          <w:rFonts w:hint="eastAsia" w:ascii="宋体" w:hAnsi="宋体" w:eastAsia="宋体" w:cs="宋体"/>
          <w:sz w:val="24"/>
        </w:rPr>
        <w:t xml:space="preserve">小写: </w:t>
      </w:r>
      <w:r>
        <w:rPr>
          <w:rFonts w:hint="eastAsia" w:ascii="宋体" w:hAnsi="宋体" w:eastAsia="宋体" w:cs="宋体"/>
          <w:sz w:val="24"/>
          <w:lang w:val="en-US" w:eastAsia="zh-CN"/>
        </w:rPr>
        <w:t>987805.36</w:t>
      </w:r>
      <w:r>
        <w:rPr>
          <w:rFonts w:hint="eastAsia" w:ascii="宋体" w:hAnsi="宋体" w:eastAsia="宋体" w:cs="宋体"/>
          <w:sz w:val="24"/>
        </w:rPr>
        <w:t>元</w:t>
      </w:r>
    </w:p>
    <w:p>
      <w:pPr>
        <w:snapToGrid w:val="0"/>
        <w:spacing w:line="360" w:lineRule="auto"/>
        <w:ind w:firstLine="555"/>
        <w:rPr>
          <w:rFonts w:hint="default" w:eastAsia="宋体"/>
          <w:lang w:val="en-US" w:eastAsia="zh-CN"/>
        </w:rPr>
      </w:pPr>
      <w:r>
        <w:rPr>
          <w:rFonts w:hint="eastAsia" w:ascii="宋体" w:hAnsi="宋体" w:eastAsia="宋体" w:cs="宋体"/>
          <w:sz w:val="24"/>
        </w:rPr>
        <w:t>大写：</w:t>
      </w:r>
      <w:r>
        <w:rPr>
          <w:rFonts w:hint="eastAsia" w:ascii="宋体" w:hAnsi="宋体" w:eastAsia="宋体" w:cs="宋体"/>
          <w:sz w:val="24"/>
          <w:lang w:val="en-US" w:eastAsia="zh-CN"/>
        </w:rPr>
        <w:t>玖拾捌万柒仟捌佰零伍元叁角陆分</w:t>
      </w:r>
      <w:bookmarkStart w:id="0" w:name="_GoBack"/>
      <w:bookmarkEnd w:id="0"/>
    </w:p>
    <w:p>
      <w:pPr>
        <w:snapToGrid w:val="0"/>
        <w:spacing w:line="360" w:lineRule="auto"/>
        <w:ind w:firstLine="1920" w:firstLineChars="800"/>
        <w:jc w:val="right"/>
        <w:rPr>
          <w:rFonts w:ascii="宋体" w:hAnsi="宋体" w:eastAsia="宋体" w:cs="宋体"/>
          <w:sz w:val="24"/>
        </w:rPr>
      </w:pPr>
    </w:p>
    <w:p>
      <w:pPr>
        <w:pStyle w:val="10"/>
        <w:ind w:left="0" w:firstLine="0" w:firstLineChars="0"/>
        <w:rPr>
          <w:rFonts w:ascii="宋体" w:hAnsi="宋体" w:cs="宋体"/>
          <w:color w:val="FF0000"/>
          <w:sz w:val="18"/>
          <w:szCs w:val="18"/>
        </w:rPr>
      </w:pPr>
    </w:p>
    <w:p>
      <w:pPr>
        <w:pStyle w:val="10"/>
        <w:ind w:left="199" w:hanging="199" w:hangingChars="83"/>
        <w:jc w:val="right"/>
        <w:rPr>
          <w:rFonts w:hint="default" w:ascii="宋体" w:hAnsi="宋体" w:eastAsia="宋体" w:cs="宋体"/>
          <w:sz w:val="24"/>
          <w:lang w:val="en-US" w:eastAsia="zh-CN"/>
        </w:rPr>
      </w:pPr>
      <w:r>
        <w:rPr>
          <w:rFonts w:hint="eastAsia" w:ascii="宋体" w:hAnsi="宋体" w:eastAsia="宋体" w:cs="宋体"/>
          <w:sz w:val="24"/>
          <w:lang w:val="en-US" w:eastAsia="zh-CN"/>
        </w:rPr>
        <w:t>2024年4月10日</w:t>
      </w:r>
    </w:p>
    <w:sectPr>
      <w:pgSz w:w="11906" w:h="16838"/>
      <w:pgMar w:top="1361" w:right="1417" w:bottom="1361" w:left="141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59EC64E6-2F86-44C1-9AA8-D69A9C76978E}"/>
  </w:font>
  <w:font w:name="金山简魏碑">
    <w:altName w:val="宋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jZGY3MjI1ZWY0YzA5NGRhZmI3NDNmMzE4MjdmYjQifQ=="/>
  </w:docVars>
  <w:rsids>
    <w:rsidRoot w:val="0E7464B5"/>
    <w:rsid w:val="000059BD"/>
    <w:rsid w:val="000555F7"/>
    <w:rsid w:val="00094BE6"/>
    <w:rsid w:val="00095842"/>
    <w:rsid w:val="000C0E37"/>
    <w:rsid w:val="000F2E22"/>
    <w:rsid w:val="001961A9"/>
    <w:rsid w:val="001F7550"/>
    <w:rsid w:val="00234BBA"/>
    <w:rsid w:val="002C0DC8"/>
    <w:rsid w:val="002C51E2"/>
    <w:rsid w:val="002E18EF"/>
    <w:rsid w:val="00411CA3"/>
    <w:rsid w:val="004810B5"/>
    <w:rsid w:val="004A1119"/>
    <w:rsid w:val="004F30A3"/>
    <w:rsid w:val="00522999"/>
    <w:rsid w:val="00563B35"/>
    <w:rsid w:val="00583254"/>
    <w:rsid w:val="005A6170"/>
    <w:rsid w:val="005E2181"/>
    <w:rsid w:val="00601163"/>
    <w:rsid w:val="00611145"/>
    <w:rsid w:val="006268D3"/>
    <w:rsid w:val="0064599C"/>
    <w:rsid w:val="00662445"/>
    <w:rsid w:val="006C0005"/>
    <w:rsid w:val="00724337"/>
    <w:rsid w:val="00726288"/>
    <w:rsid w:val="00742AC2"/>
    <w:rsid w:val="0076793B"/>
    <w:rsid w:val="007C0573"/>
    <w:rsid w:val="00820BE8"/>
    <w:rsid w:val="00847369"/>
    <w:rsid w:val="008C11BA"/>
    <w:rsid w:val="008E6223"/>
    <w:rsid w:val="0095406B"/>
    <w:rsid w:val="00986B1D"/>
    <w:rsid w:val="009B280D"/>
    <w:rsid w:val="00A109C1"/>
    <w:rsid w:val="00A52107"/>
    <w:rsid w:val="00A77871"/>
    <w:rsid w:val="00A85ADF"/>
    <w:rsid w:val="00AB20DC"/>
    <w:rsid w:val="00AC5BE0"/>
    <w:rsid w:val="00AF29B7"/>
    <w:rsid w:val="00AF7891"/>
    <w:rsid w:val="00B15325"/>
    <w:rsid w:val="00B91A68"/>
    <w:rsid w:val="00B9371D"/>
    <w:rsid w:val="00C3758A"/>
    <w:rsid w:val="00C85027"/>
    <w:rsid w:val="00CB5767"/>
    <w:rsid w:val="00D928F0"/>
    <w:rsid w:val="00DF4F21"/>
    <w:rsid w:val="00E12505"/>
    <w:rsid w:val="00E177CA"/>
    <w:rsid w:val="00E17869"/>
    <w:rsid w:val="00E27B3D"/>
    <w:rsid w:val="00F11F0F"/>
    <w:rsid w:val="00F145AC"/>
    <w:rsid w:val="00F262DE"/>
    <w:rsid w:val="00FA755E"/>
    <w:rsid w:val="012F387B"/>
    <w:rsid w:val="017C5C38"/>
    <w:rsid w:val="018A7679"/>
    <w:rsid w:val="01E34469"/>
    <w:rsid w:val="01E41926"/>
    <w:rsid w:val="01F014CC"/>
    <w:rsid w:val="02B8491C"/>
    <w:rsid w:val="02DC2156"/>
    <w:rsid w:val="0398183E"/>
    <w:rsid w:val="04117BDE"/>
    <w:rsid w:val="043F474B"/>
    <w:rsid w:val="045F4D48"/>
    <w:rsid w:val="04B05649"/>
    <w:rsid w:val="05166FB4"/>
    <w:rsid w:val="05872572"/>
    <w:rsid w:val="05B11678"/>
    <w:rsid w:val="05B72A07"/>
    <w:rsid w:val="05C1597F"/>
    <w:rsid w:val="05C25634"/>
    <w:rsid w:val="05EF0DDB"/>
    <w:rsid w:val="06D03D80"/>
    <w:rsid w:val="072F302C"/>
    <w:rsid w:val="073360BD"/>
    <w:rsid w:val="07B81E90"/>
    <w:rsid w:val="083307CB"/>
    <w:rsid w:val="08962DA7"/>
    <w:rsid w:val="08B22D9A"/>
    <w:rsid w:val="09306EAF"/>
    <w:rsid w:val="09624302"/>
    <w:rsid w:val="0AA23C86"/>
    <w:rsid w:val="0AAE43D8"/>
    <w:rsid w:val="0ABD286D"/>
    <w:rsid w:val="0AFC39C3"/>
    <w:rsid w:val="0B482FB1"/>
    <w:rsid w:val="0C2935FC"/>
    <w:rsid w:val="0CF94455"/>
    <w:rsid w:val="0D130661"/>
    <w:rsid w:val="0D1D00AA"/>
    <w:rsid w:val="0D3B53AC"/>
    <w:rsid w:val="0E26697C"/>
    <w:rsid w:val="0E386E48"/>
    <w:rsid w:val="0E742273"/>
    <w:rsid w:val="0E7464B5"/>
    <w:rsid w:val="0E7C21C0"/>
    <w:rsid w:val="0F774D27"/>
    <w:rsid w:val="0FDF3286"/>
    <w:rsid w:val="104B293D"/>
    <w:rsid w:val="11E51FF8"/>
    <w:rsid w:val="12372CCA"/>
    <w:rsid w:val="125207DD"/>
    <w:rsid w:val="125353AB"/>
    <w:rsid w:val="12B4501E"/>
    <w:rsid w:val="12EC7E23"/>
    <w:rsid w:val="134A0FF3"/>
    <w:rsid w:val="13A85212"/>
    <w:rsid w:val="13BF54DD"/>
    <w:rsid w:val="13D1468C"/>
    <w:rsid w:val="13DC135F"/>
    <w:rsid w:val="141259D8"/>
    <w:rsid w:val="142A2365"/>
    <w:rsid w:val="144C03F6"/>
    <w:rsid w:val="145A2CEA"/>
    <w:rsid w:val="14685425"/>
    <w:rsid w:val="146C4074"/>
    <w:rsid w:val="155672C6"/>
    <w:rsid w:val="16183C4C"/>
    <w:rsid w:val="16F54663"/>
    <w:rsid w:val="17033CFE"/>
    <w:rsid w:val="17463BEB"/>
    <w:rsid w:val="18121827"/>
    <w:rsid w:val="184D6F90"/>
    <w:rsid w:val="186C341D"/>
    <w:rsid w:val="188624F1"/>
    <w:rsid w:val="18CD39BF"/>
    <w:rsid w:val="199318F1"/>
    <w:rsid w:val="199D5716"/>
    <w:rsid w:val="1A495ECC"/>
    <w:rsid w:val="1A5B3475"/>
    <w:rsid w:val="1C01346E"/>
    <w:rsid w:val="1C6F14EE"/>
    <w:rsid w:val="1CF245F9"/>
    <w:rsid w:val="1D1F2F14"/>
    <w:rsid w:val="1D9A552E"/>
    <w:rsid w:val="1DD312CC"/>
    <w:rsid w:val="1DD75C24"/>
    <w:rsid w:val="1E2D1660"/>
    <w:rsid w:val="1E9F64FC"/>
    <w:rsid w:val="1FEF5EF4"/>
    <w:rsid w:val="2011123A"/>
    <w:rsid w:val="20531911"/>
    <w:rsid w:val="20547B2F"/>
    <w:rsid w:val="227A7809"/>
    <w:rsid w:val="22A16179"/>
    <w:rsid w:val="23E36F2E"/>
    <w:rsid w:val="2483647E"/>
    <w:rsid w:val="24F72BA0"/>
    <w:rsid w:val="2536529E"/>
    <w:rsid w:val="2557688F"/>
    <w:rsid w:val="25626486"/>
    <w:rsid w:val="25EC16E5"/>
    <w:rsid w:val="26062496"/>
    <w:rsid w:val="26AF5308"/>
    <w:rsid w:val="26BF60CA"/>
    <w:rsid w:val="274F1987"/>
    <w:rsid w:val="27637812"/>
    <w:rsid w:val="282D6A80"/>
    <w:rsid w:val="283E4B96"/>
    <w:rsid w:val="28F434A6"/>
    <w:rsid w:val="29842A7C"/>
    <w:rsid w:val="2B6A1419"/>
    <w:rsid w:val="2BF653E2"/>
    <w:rsid w:val="2C36442D"/>
    <w:rsid w:val="2C6B0651"/>
    <w:rsid w:val="2D960FD0"/>
    <w:rsid w:val="2DBA2F11"/>
    <w:rsid w:val="2DD5194C"/>
    <w:rsid w:val="2E100334"/>
    <w:rsid w:val="2E491063"/>
    <w:rsid w:val="2E5A3982"/>
    <w:rsid w:val="2FFF0CC3"/>
    <w:rsid w:val="30171D1C"/>
    <w:rsid w:val="302F6D3D"/>
    <w:rsid w:val="30AE37D6"/>
    <w:rsid w:val="30DA2EB8"/>
    <w:rsid w:val="30DB278A"/>
    <w:rsid w:val="30DC2204"/>
    <w:rsid w:val="30EE6968"/>
    <w:rsid w:val="311104BF"/>
    <w:rsid w:val="31297131"/>
    <w:rsid w:val="317E6AD6"/>
    <w:rsid w:val="319035BD"/>
    <w:rsid w:val="319E7F73"/>
    <w:rsid w:val="31BE4652"/>
    <w:rsid w:val="323837B0"/>
    <w:rsid w:val="32394865"/>
    <w:rsid w:val="33526F31"/>
    <w:rsid w:val="33BE4200"/>
    <w:rsid w:val="34592D57"/>
    <w:rsid w:val="349D03FB"/>
    <w:rsid w:val="34C93A39"/>
    <w:rsid w:val="34CC3529"/>
    <w:rsid w:val="357B0819"/>
    <w:rsid w:val="35CC2F4D"/>
    <w:rsid w:val="35F76384"/>
    <w:rsid w:val="35FA7C22"/>
    <w:rsid w:val="361E0CAB"/>
    <w:rsid w:val="370573E0"/>
    <w:rsid w:val="3715740A"/>
    <w:rsid w:val="382563AD"/>
    <w:rsid w:val="386F17EB"/>
    <w:rsid w:val="387106C6"/>
    <w:rsid w:val="38EF600A"/>
    <w:rsid w:val="38F35529"/>
    <w:rsid w:val="3A1453CE"/>
    <w:rsid w:val="3A8945B6"/>
    <w:rsid w:val="3A922841"/>
    <w:rsid w:val="3AE159FC"/>
    <w:rsid w:val="3B337E5E"/>
    <w:rsid w:val="3C2564E5"/>
    <w:rsid w:val="3C2D6FA3"/>
    <w:rsid w:val="3C957590"/>
    <w:rsid w:val="3CA7082E"/>
    <w:rsid w:val="3CEF3887"/>
    <w:rsid w:val="3D165A30"/>
    <w:rsid w:val="3DFD26B4"/>
    <w:rsid w:val="3E052601"/>
    <w:rsid w:val="3EBC0CA4"/>
    <w:rsid w:val="3EC0548F"/>
    <w:rsid w:val="3F7D78FA"/>
    <w:rsid w:val="4001738E"/>
    <w:rsid w:val="40104543"/>
    <w:rsid w:val="402F5BFF"/>
    <w:rsid w:val="40705088"/>
    <w:rsid w:val="40772ED9"/>
    <w:rsid w:val="41F75E12"/>
    <w:rsid w:val="42243318"/>
    <w:rsid w:val="422A1401"/>
    <w:rsid w:val="432E5552"/>
    <w:rsid w:val="4359255B"/>
    <w:rsid w:val="44612074"/>
    <w:rsid w:val="44675FAE"/>
    <w:rsid w:val="44FB1346"/>
    <w:rsid w:val="456F23DB"/>
    <w:rsid w:val="45885BD6"/>
    <w:rsid w:val="45C41209"/>
    <w:rsid w:val="4609638B"/>
    <w:rsid w:val="46304198"/>
    <w:rsid w:val="463178EA"/>
    <w:rsid w:val="46C61618"/>
    <w:rsid w:val="47573126"/>
    <w:rsid w:val="47C63E08"/>
    <w:rsid w:val="47F2744B"/>
    <w:rsid w:val="483D454F"/>
    <w:rsid w:val="49640090"/>
    <w:rsid w:val="49902920"/>
    <w:rsid w:val="49DA3080"/>
    <w:rsid w:val="4A834FF9"/>
    <w:rsid w:val="4AF03556"/>
    <w:rsid w:val="4C3C5FC3"/>
    <w:rsid w:val="4C9D08D4"/>
    <w:rsid w:val="4DD07F02"/>
    <w:rsid w:val="4DEF71E3"/>
    <w:rsid w:val="4E197B8B"/>
    <w:rsid w:val="4E5B79A0"/>
    <w:rsid w:val="4E7B594C"/>
    <w:rsid w:val="4E883FA3"/>
    <w:rsid w:val="50461474"/>
    <w:rsid w:val="50B0231B"/>
    <w:rsid w:val="511D04E9"/>
    <w:rsid w:val="513D15DF"/>
    <w:rsid w:val="522E506C"/>
    <w:rsid w:val="52F83A10"/>
    <w:rsid w:val="53603363"/>
    <w:rsid w:val="53DD2C05"/>
    <w:rsid w:val="53E77EC8"/>
    <w:rsid w:val="54216F96"/>
    <w:rsid w:val="552C5FA9"/>
    <w:rsid w:val="555269DF"/>
    <w:rsid w:val="556E620B"/>
    <w:rsid w:val="56413FDA"/>
    <w:rsid w:val="569F68EF"/>
    <w:rsid w:val="573B00AE"/>
    <w:rsid w:val="57B670B9"/>
    <w:rsid w:val="5812266D"/>
    <w:rsid w:val="584A43BC"/>
    <w:rsid w:val="58680B61"/>
    <w:rsid w:val="58695332"/>
    <w:rsid w:val="5A160C1F"/>
    <w:rsid w:val="5A22324E"/>
    <w:rsid w:val="5AAD3A63"/>
    <w:rsid w:val="5AC53F6F"/>
    <w:rsid w:val="5B184523"/>
    <w:rsid w:val="5C441A74"/>
    <w:rsid w:val="5C7834CB"/>
    <w:rsid w:val="5EEA1110"/>
    <w:rsid w:val="5F3C0317"/>
    <w:rsid w:val="5FAE03C8"/>
    <w:rsid w:val="6018101F"/>
    <w:rsid w:val="604129D6"/>
    <w:rsid w:val="60A57549"/>
    <w:rsid w:val="60AE7E03"/>
    <w:rsid w:val="60FC7F19"/>
    <w:rsid w:val="614D16E0"/>
    <w:rsid w:val="61532759"/>
    <w:rsid w:val="616A2002"/>
    <w:rsid w:val="628522C9"/>
    <w:rsid w:val="63305646"/>
    <w:rsid w:val="6388628E"/>
    <w:rsid w:val="646E127F"/>
    <w:rsid w:val="64B01A97"/>
    <w:rsid w:val="653C14D2"/>
    <w:rsid w:val="65A67C2C"/>
    <w:rsid w:val="66D61976"/>
    <w:rsid w:val="6708449C"/>
    <w:rsid w:val="672524A2"/>
    <w:rsid w:val="67736D4F"/>
    <w:rsid w:val="68007598"/>
    <w:rsid w:val="687704BD"/>
    <w:rsid w:val="68C301C4"/>
    <w:rsid w:val="69EB57C5"/>
    <w:rsid w:val="6ADD1C48"/>
    <w:rsid w:val="6BD05FDD"/>
    <w:rsid w:val="6C103720"/>
    <w:rsid w:val="6CB11F89"/>
    <w:rsid w:val="6DAF2D23"/>
    <w:rsid w:val="6DCD0259"/>
    <w:rsid w:val="6E3672F0"/>
    <w:rsid w:val="6EB26D11"/>
    <w:rsid w:val="6FCE57E4"/>
    <w:rsid w:val="706B26C1"/>
    <w:rsid w:val="71C83778"/>
    <w:rsid w:val="724F42E1"/>
    <w:rsid w:val="7285073E"/>
    <w:rsid w:val="72ED633B"/>
    <w:rsid w:val="736A623C"/>
    <w:rsid w:val="73C46BE7"/>
    <w:rsid w:val="74367CF4"/>
    <w:rsid w:val="74FE3B1F"/>
    <w:rsid w:val="75B10C64"/>
    <w:rsid w:val="769F69B2"/>
    <w:rsid w:val="77434404"/>
    <w:rsid w:val="77B85277"/>
    <w:rsid w:val="781F08F7"/>
    <w:rsid w:val="791D56CF"/>
    <w:rsid w:val="7A15284A"/>
    <w:rsid w:val="7B315461"/>
    <w:rsid w:val="7B3506D7"/>
    <w:rsid w:val="7BB125DD"/>
    <w:rsid w:val="7C181C5C"/>
    <w:rsid w:val="7E9E08FB"/>
    <w:rsid w:val="7EBF54B3"/>
    <w:rsid w:val="7ECF6A17"/>
    <w:rsid w:val="7F1906E6"/>
    <w:rsid w:val="7FCC1669"/>
    <w:rsid w:val="7FCE77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2"/>
    <w:basedOn w:val="1"/>
    <w:next w:val="1"/>
    <w:qFormat/>
    <w:uiPriority w:val="0"/>
    <w:pPr>
      <w:keepNext/>
      <w:keepLines/>
      <w:spacing w:line="440" w:lineRule="exact"/>
      <w:ind w:firstLine="422" w:firstLineChars="200"/>
      <w:outlineLvl w:val="1"/>
    </w:pPr>
    <w:rPr>
      <w:rFonts w:ascii="黑体" w:hAnsi="黑体" w:eastAsia="黑体"/>
      <w:b/>
      <w:bCs/>
      <w:szCs w:val="21"/>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spacing w:line="360" w:lineRule="auto"/>
      <w:ind w:firstLine="200" w:firstLineChars="200"/>
    </w:pPr>
    <w:rPr>
      <w:rFonts w:ascii="宋体"/>
      <w:szCs w:val="20"/>
    </w:rPr>
  </w:style>
  <w:style w:type="paragraph" w:styleId="3">
    <w:name w:val="Body Text Indent"/>
    <w:basedOn w:val="1"/>
    <w:next w:val="4"/>
    <w:qFormat/>
    <w:uiPriority w:val="0"/>
    <w:pPr>
      <w:spacing w:after="120"/>
      <w:ind w:left="420" w:leftChars="200"/>
    </w:pPr>
  </w:style>
  <w:style w:type="paragraph" w:styleId="4">
    <w:name w:val="envelope return"/>
    <w:basedOn w:val="1"/>
    <w:qFormat/>
    <w:uiPriority w:val="0"/>
    <w:pPr>
      <w:snapToGrid w:val="0"/>
    </w:pPr>
    <w:rPr>
      <w:rFonts w:ascii="Arial" w:hAnsi="Arial"/>
    </w:rPr>
  </w:style>
  <w:style w:type="paragraph" w:styleId="6">
    <w:name w:val="Plain Text"/>
    <w:basedOn w:val="1"/>
    <w:qFormat/>
    <w:uiPriority w:val="0"/>
    <w:rPr>
      <w:rFonts w:ascii="宋体" w:hAnsi="Courier New" w:cs="金山简魏碑"/>
      <w:szCs w:val="21"/>
    </w:rPr>
  </w:style>
  <w:style w:type="paragraph" w:styleId="7">
    <w:name w:val="Body Text Indent 2"/>
    <w:basedOn w:val="1"/>
    <w:qFormat/>
    <w:uiPriority w:val="0"/>
    <w:pPr>
      <w:spacing w:line="360" w:lineRule="exact"/>
      <w:ind w:firstLine="600" w:firstLineChars="250"/>
      <w:jc w:val="left"/>
    </w:pPr>
    <w:rPr>
      <w:sz w:val="24"/>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List"/>
    <w:basedOn w:val="1"/>
    <w:unhideWhenUsed/>
    <w:qFormat/>
    <w:uiPriority w:val="0"/>
    <w:pPr>
      <w:ind w:left="200" w:hanging="200" w:hangingChars="200"/>
      <w:contextualSpacing/>
    </w:pPr>
    <w:rPr>
      <w:rFonts w:eastAsia="仿宋_GB2312" w:cs="仿宋_GB2312"/>
      <w:sz w:val="30"/>
      <w:szCs w:val="30"/>
    </w:rPr>
  </w:style>
  <w:style w:type="paragraph" w:styleId="11">
    <w:name w:val="Normal (Web)"/>
    <w:basedOn w:val="1"/>
    <w:qFormat/>
    <w:uiPriority w:val="0"/>
    <w:pPr>
      <w:spacing w:beforeAutospacing="1" w:afterAutospacing="1"/>
      <w:jc w:val="left"/>
    </w:pPr>
    <w:rPr>
      <w:rFonts w:cs="Times New Roman"/>
      <w:kern w:val="0"/>
      <w:sz w:val="24"/>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629</Words>
  <Characters>681</Characters>
  <Lines>25</Lines>
  <Paragraphs>7</Paragraphs>
  <TotalTime>0</TotalTime>
  <ScaleCrop>false</ScaleCrop>
  <LinksUpToDate>false</LinksUpToDate>
  <CharactersWithSpaces>692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2020-09-24T00:32:00Z</dcterms:created>
  <cp:lastPrinted>2022-08-31T08:47:00Z</cp:lastPrinted>
  <dcterms:modified xsi:type="dcterms:W3CDTF">2024-04-18T04:23:11Z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528C61B6845947B58784E3ECC33ED891</vt:lpwstr>
  </property>
</Properties>
</file>