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滁州市建筑垃圾综合处置项目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清表及土方回填工作建议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因滁州市建筑垃圾综合处置项目建设工期较短，需提前对待建场地进行清表及土方回填，为推进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项目进度，特提出以下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清表及土方回填工作建议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清淤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清表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按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总图</w:t>
      </w:r>
      <w:r>
        <w:rPr>
          <w:rFonts w:hint="default" w:ascii="Times New Roman" w:hAnsi="Times New Roman" w:eastAsia="宋体" w:cs="Times New Roman"/>
          <w:sz w:val="28"/>
          <w:szCs w:val="28"/>
        </w:rPr>
        <w:t>设计标高进行开挖及填筑，不得超挖。要求清除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植被树根及</w:t>
      </w:r>
      <w:r>
        <w:rPr>
          <w:rFonts w:hint="default" w:ascii="Times New Roman" w:hAnsi="Times New Roman" w:eastAsia="宋体" w:cs="Times New Roman"/>
          <w:sz w:val="28"/>
          <w:szCs w:val="28"/>
        </w:rPr>
        <w:t>所有不良土层（包括淤泥、淤泥质土、耕植土、残积土等)，淤泥清除厚度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暂定30cm，具体</w:t>
      </w:r>
      <w:r>
        <w:rPr>
          <w:rFonts w:hint="default" w:ascii="Times New Roman" w:hAnsi="Times New Roman" w:eastAsia="宋体" w:cs="Times New Roman"/>
          <w:sz w:val="28"/>
          <w:szCs w:val="28"/>
        </w:rPr>
        <w:t>清表厚度根据现场情况确定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</w:rPr>
        <w:t>以施工时看见基岩(或老土)为准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本项目</w:t>
      </w:r>
      <w:r>
        <w:rPr>
          <w:rFonts w:hint="default" w:ascii="Times New Roman" w:hAnsi="Times New Roman" w:eastAsia="宋体" w:cs="Times New Roman"/>
          <w:sz w:val="28"/>
          <w:szCs w:val="28"/>
        </w:rPr>
        <w:t>清除的表土供场地后期绿化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或</w:t>
      </w:r>
      <w:r>
        <w:rPr>
          <w:rFonts w:hint="default" w:ascii="Times New Roman" w:hAnsi="Times New Roman" w:eastAsia="宋体" w:cs="Times New Roman"/>
          <w:sz w:val="28"/>
          <w:szCs w:val="28"/>
        </w:rPr>
        <w:t>集中堆放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在二期项目用地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</w:rPr>
        <w:t>若遇与工勘报告情况相差较大时，应及时通知设计人员进行变更处理。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土方回填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地表清表工作完成后，需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进行回填以实现项目地块整体标高略高于秋桐路，防止地块出现雨水回灌现象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土方回填量约107623m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vertAlign w:val="super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vertAlign w:val="baseline"/>
          <w:lang w:val="en-US" w:eastAsia="zh-CN"/>
        </w:rPr>
        <w:t>，具体需根据实际清表深度确定。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（1）回填材料来源：优先采用本场地开挖出来的土料，包括粘土、粉质粘土，不应含有草皮、树根、耕植土、淤泥质土、盐渍土、遇水崩解、膨胀的土类、以及直径大于25mm的石块。如果缺土则需考虑外购土源。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（2）填方土源检测：a.通过肉眼对土源进行外观检测，以初步确定填方土源是否符合填方土质要求，鉴别是否含有超出标准范围的土块、石块，以及植物根茎、垃圾等；b.有机质含量、颗粒成份、最优含水量以及最大干密度的检测根据现场实验确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定；c.填方土源各项检测技术标准与频率按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下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表中有关规定执行。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  <w:drawing>
          <wp:inline distT="0" distB="0" distL="114300" distR="114300">
            <wp:extent cx="5266055" cy="812800"/>
            <wp:effectExtent l="0" t="0" r="10795" b="6350"/>
            <wp:docPr id="2" name="图片 1" descr="c3bc710e6d1fb6204b9a766c63da2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3bc710e6d1fb6204b9a766c63da27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回填压实要求：a.回填土方要求分层铺土、分层碾压，土料在压实前要用推土机推平摊匀，土面大致呈水平状态，厚度均匀，各种不同压实方式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的每层铺土厚度详见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highlight w:val="none"/>
          <w:lang w:val="en-US" w:eastAsia="zh-CN"/>
        </w:rPr>
        <w:t>铺料厚度限制尺寸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highlight w:val="none"/>
          <w:lang w:val="en-US" w:eastAsia="zh-CN"/>
        </w:rPr>
        <w:t>表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，每层铺土压实后的厚度宜为150~300mm；b.每层压实土壤施工完后，应按每500平方米取3~5个样品进行压实度测试，且最小压实度应满足90%，道路处详见</w:t>
      </w:r>
      <w:r>
        <w:rPr>
          <w:rFonts w:hint="default" w:ascii="Times New Roman" w:hAnsi="Times New Roman" w:eastAsia="宋体" w:cs="Times New Roman"/>
          <w:b/>
          <w:sz w:val="28"/>
          <w:szCs w:val="28"/>
          <w:highlight w:val="none"/>
        </w:rPr>
        <w:t>道路路基压实度</w:t>
      </w:r>
      <w:r>
        <w:rPr>
          <w:rFonts w:hint="default" w:ascii="Times New Roman" w:hAnsi="Times New Roman" w:eastAsia="宋体" w:cs="Times New Roman"/>
          <w:b/>
          <w:sz w:val="28"/>
          <w:szCs w:val="28"/>
          <w:highlight w:val="none"/>
          <w:lang w:val="en-US" w:eastAsia="zh-CN"/>
        </w:rPr>
        <w:t>表</w:t>
      </w:r>
      <w:r>
        <w:rPr>
          <w:rFonts w:hint="default" w:ascii="Times New Roman" w:hAnsi="Times New Roman" w:eastAsia="宋体" w:cs="Times New Roman"/>
          <w:b/>
          <w:sz w:val="28"/>
          <w:szCs w:val="28"/>
          <w:highlight w:val="none"/>
        </w:rPr>
        <w:t>(重型击实标准)</w:t>
      </w:r>
      <w:r>
        <w:rPr>
          <w:rFonts w:hint="default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；c.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所有填方的压实土，在压实度质量检测合格后，填下一层土之前必须将上一层土的表层作翻松处理，以确保上下土层的良好结合，翻松的深度为25mm。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道路路基压实度表(重型击实标准)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填控类型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路面底面以下浮度(cm)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压实度(%)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填方路基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0-80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≥93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填方路基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&gt;80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≥90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挖方路基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0-30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≥93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注：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其它区域的压实度,建筑地坪用地区域暂定≥90%,草坪、景观场地、室外硬质铺地等处暂定≥85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铺料厚度限制尺寸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5263515" cy="1242695"/>
            <wp:effectExtent l="0" t="0" r="13335" b="14605"/>
            <wp:docPr id="3" name="图片 3" descr="c4b403ed517ff9a7723b553350261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4b403ed517ff9a7723b5533502615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24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（4）土源用于填方前，虽然已经进行了含水量的检测，但是当土源含水量检测日期与填方作业日期相隔时间较长，或天气变化引起土料含水量改变时，土料运到填方作业面后，在压实前应检测土料的含水量，在土料的含水量不超过该土料最优含水量±3时方可进行摊铺压实。若含水量过高或过低，则要进行晾晒或洒水处理，直至接近最优含水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（5）填方的铺料与碾压：填土作业应该按照水平层次铺填，不得顺坡填筑；路堤分段作业面的最小长度，机械作业不应小于50m；</w:t>
      </w:r>
      <w:r>
        <w:rPr>
          <w:rFonts w:hint="default" w:ascii="Times New Roman" w:hAnsi="Times New Roman" w:eastAsia="宋体" w:cs="Times New Roman"/>
          <w:sz w:val="28"/>
          <w:szCs w:val="28"/>
        </w:rPr>
        <w:t>对大背坡等地的陡坡(横坡大于1:5)进行场地平整,填筑前须将地面挖成台阶,且台阶宽度不小于1米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</w:rPr>
        <w:t>台阶顶面做成2-4%的反向横坡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</w:rPr>
        <w:t>以防填方滑动而影响其稳定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</w:rPr>
        <w:t>陡坡地挖方机械施工、人工爆破施工时需特别注意保护现有高压线、民房及现场施工人员的安全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三、工程费用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见图纸、工程量清单及控制价。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Times New Roman" w:hAnsi="Times New Roman" w:eastAsia="宋体" w:cs="Times New Roman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vertAlign w:val="baseline"/>
          <w:lang w:val="en-US" w:eastAsia="zh-CN"/>
        </w:rPr>
        <w:t>四、围挡及标识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场区标识设置需符合《安全标志及其使用导则》GB 2894-2008等国家规范；围挡沿总图围墙线布置，长度约786米；施工期间人员及车辆进出厂区大门设置两处，按照总图大门位置及尺寸设置。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2381250" cy="2428240"/>
            <wp:effectExtent l="0" t="0" r="0" b="0"/>
            <wp:docPr id="4" name="图片 4" descr="场地围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场地围挡"/>
                    <pic:cNvPicPr>
                      <a:picLocks noChangeAspect="1"/>
                    </pic:cNvPicPr>
                  </pic:nvPicPr>
                  <pic:blipFill>
                    <a:blip r:embed="rId6"/>
                    <a:srcRect l="18787" t="6389" r="1622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42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围挡做法示意图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E90214"/>
    <w:multiLevelType w:val="singleLevel"/>
    <w:tmpl w:val="FDE90214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297AD290"/>
    <w:multiLevelType w:val="singleLevel"/>
    <w:tmpl w:val="297AD29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mNjY2MjI0YmEzY2M4ZmM1NzA1MTRlMTMwYzAyYTYifQ=="/>
    <w:docVar w:name="KSO_WPS_MARK_KEY" w:val="cc52949c-5136-4a9c-864b-95edb341861c"/>
  </w:docVars>
  <w:rsids>
    <w:rsidRoot w:val="05DB51F1"/>
    <w:rsid w:val="05DB51F1"/>
    <w:rsid w:val="15DE146C"/>
    <w:rsid w:val="255920C0"/>
    <w:rsid w:val="26EA7955"/>
    <w:rsid w:val="40C34044"/>
    <w:rsid w:val="494F764D"/>
    <w:rsid w:val="66C71D2E"/>
    <w:rsid w:val="69AC209C"/>
    <w:rsid w:val="76C2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1469</Words>
  <Characters>1569</Characters>
  <Lines>0</Lines>
  <Paragraphs>0</Paragraphs>
  <TotalTime>6</TotalTime>
  <ScaleCrop>false</ScaleCrop>
  <LinksUpToDate>false</LinksUpToDate>
  <CharactersWithSpaces>1569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2023-10-11T06:56:00Z</dcterms:created>
  <dc:creator>源唯东</dc:creator>
  <cp:lastModifiedBy>江玉龙</cp:lastModifiedBy>
  <dcterms:modified xsi:type="dcterms:W3CDTF">2024-09-05T22:57:00Z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F79E1A397869480B8F6E53CE77D41829_13</vt:lpwstr>
  </property>
</Properties>
</file>