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cs="宋体"/>
          <w:b/>
          <w:color w:val="auto"/>
          <w:kern w:val="0"/>
          <w:sz w:val="44"/>
          <w:szCs w:val="44"/>
          <w:highlight w:val="none"/>
        </w:rPr>
      </w:pPr>
      <w:bookmarkStart w:id="0" w:name="_Toc506107265"/>
      <w:bookmarkStart w:id="1" w:name="_Toc15058843"/>
      <w:bookmarkStart w:id="2" w:name="_Toc461631222"/>
      <w:bookmarkStart w:id="3" w:name="_Toc247085669"/>
      <w:bookmarkStart w:id="4" w:name="_Toc246996898"/>
      <w:bookmarkStart w:id="5" w:name="_Toc296602400"/>
      <w:bookmarkStart w:id="6" w:name="_Toc324404811"/>
      <w:bookmarkStart w:id="7" w:name="OLE_LINK4"/>
      <w:bookmarkStart w:id="8" w:name="OLE_LINK2"/>
      <w:bookmarkStart w:id="9" w:name="OLE_LINK3"/>
      <w:bookmarkStart w:id="10" w:name="OLE_LINK5"/>
      <w:bookmarkStart w:id="11" w:name="OLE_LINK1"/>
    </w:p>
    <w:p>
      <w:pPr>
        <w:pStyle w:val="2"/>
        <w:ind w:firstLine="420"/>
        <w:rPr>
          <w:color w:val="auto"/>
          <w:highlight w:val="none"/>
        </w:rPr>
      </w:pPr>
    </w:p>
    <w:p>
      <w:pPr>
        <w:jc w:val="center"/>
        <w:rPr>
          <w:rFonts w:ascii="宋体" w:hAnsi="宋体"/>
          <w:color w:val="auto"/>
          <w:sz w:val="44"/>
          <w:szCs w:val="44"/>
          <w:highlight w:val="none"/>
        </w:rPr>
      </w:pPr>
      <w:r>
        <w:rPr>
          <w:rFonts w:hint="eastAsia" w:hAnsi="宋体" w:cs="宋体"/>
          <w:b/>
          <w:color w:val="auto"/>
          <w:kern w:val="0"/>
          <w:sz w:val="44"/>
          <w:szCs w:val="44"/>
          <w:highlight w:val="none"/>
          <w:lang w:eastAsia="zh-CN"/>
        </w:rPr>
        <w:t>滁州市建筑垃圾综合处置项目土方平整工程</w:t>
      </w:r>
    </w:p>
    <w:p>
      <w:pPr>
        <w:pStyle w:val="2"/>
        <w:rPr>
          <w:color w:val="auto"/>
          <w:highlight w:val="none"/>
        </w:rPr>
      </w:pPr>
    </w:p>
    <w:p>
      <w:pPr>
        <w:jc w:val="center"/>
        <w:rPr>
          <w:rFonts w:hint="eastAsia" w:ascii="宋体" w:hAnsi="宋体"/>
          <w:b/>
          <w:bCs/>
          <w:color w:val="auto"/>
          <w:sz w:val="96"/>
          <w:szCs w:val="96"/>
          <w:highlight w:val="none"/>
        </w:rPr>
      </w:pPr>
    </w:p>
    <w:p>
      <w:pPr>
        <w:jc w:val="center"/>
        <w:rPr>
          <w:color w:val="auto"/>
          <w:sz w:val="28"/>
          <w:szCs w:val="28"/>
          <w:highlight w:val="none"/>
        </w:rPr>
      </w:pPr>
      <w:r>
        <w:rPr>
          <w:rFonts w:hint="eastAsia" w:ascii="宋体" w:hAnsi="宋体"/>
          <w:b/>
          <w:bCs/>
          <w:color w:val="auto"/>
          <w:sz w:val="96"/>
          <w:szCs w:val="96"/>
          <w:highlight w:val="none"/>
        </w:rPr>
        <w:t>招</w:t>
      </w:r>
      <w:r>
        <w:rPr>
          <w:rFonts w:hint="eastAsia" w:ascii="宋体" w:hAnsi="宋体"/>
          <w:b/>
          <w:bCs/>
          <w:color w:val="auto"/>
          <w:sz w:val="96"/>
          <w:szCs w:val="96"/>
          <w:highlight w:val="none"/>
          <w:lang w:val="en-US" w:eastAsia="zh-CN"/>
        </w:rPr>
        <w:t xml:space="preserve"> </w:t>
      </w:r>
      <w:r>
        <w:rPr>
          <w:rFonts w:hint="eastAsia" w:ascii="宋体"/>
          <w:b/>
          <w:bCs/>
          <w:color w:val="auto"/>
          <w:sz w:val="96"/>
          <w:szCs w:val="96"/>
          <w:highlight w:val="none"/>
        </w:rPr>
        <w:t>标</w:t>
      </w:r>
      <w:r>
        <w:rPr>
          <w:rFonts w:hint="eastAsia" w:ascii="宋体"/>
          <w:b/>
          <w:bCs/>
          <w:color w:val="auto"/>
          <w:sz w:val="96"/>
          <w:szCs w:val="96"/>
          <w:highlight w:val="none"/>
          <w:lang w:val="en-US" w:eastAsia="zh-CN"/>
        </w:rPr>
        <w:t xml:space="preserve"> </w:t>
      </w:r>
      <w:r>
        <w:rPr>
          <w:rFonts w:hint="eastAsia" w:ascii="宋体" w:hAnsi="宋体"/>
          <w:b/>
          <w:bCs/>
          <w:color w:val="auto"/>
          <w:sz w:val="96"/>
          <w:szCs w:val="96"/>
          <w:highlight w:val="none"/>
        </w:rPr>
        <w:t>文</w:t>
      </w:r>
      <w:r>
        <w:rPr>
          <w:rFonts w:hint="eastAsia" w:ascii="宋体" w:hAnsi="宋体"/>
          <w:b/>
          <w:bCs/>
          <w:color w:val="auto"/>
          <w:sz w:val="96"/>
          <w:szCs w:val="96"/>
          <w:highlight w:val="none"/>
          <w:lang w:val="en-US" w:eastAsia="zh-CN"/>
        </w:rPr>
        <w:t xml:space="preserve"> </w:t>
      </w:r>
      <w:r>
        <w:rPr>
          <w:rFonts w:hint="eastAsia" w:ascii="宋体" w:hAnsi="宋体"/>
          <w:b/>
          <w:bCs/>
          <w:color w:val="auto"/>
          <w:sz w:val="96"/>
          <w:szCs w:val="96"/>
          <w:highlight w:val="none"/>
        </w:rPr>
        <w:t>件</w:t>
      </w:r>
    </w:p>
    <w:p>
      <w:pPr>
        <w:spacing w:line="400" w:lineRule="exact"/>
        <w:jc w:val="center"/>
        <w:rPr>
          <w:rFonts w:ascii="宋体" w:hAnsi="宋体"/>
          <w:b/>
          <w:color w:val="auto"/>
          <w:sz w:val="39"/>
          <w:highlight w:val="none"/>
        </w:rPr>
      </w:pPr>
    </w:p>
    <w:p>
      <w:pPr>
        <w:spacing w:line="400" w:lineRule="exact"/>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spacing w:line="720" w:lineRule="exact"/>
        <w:rPr>
          <w:b/>
          <w:bCs/>
          <w:color w:val="auto"/>
          <w:sz w:val="28"/>
          <w:szCs w:val="28"/>
          <w:highlight w:val="none"/>
        </w:rPr>
      </w:pPr>
    </w:p>
    <w:p>
      <w:pPr>
        <w:spacing w:before="156" w:beforeLines="50" w:after="156" w:afterLines="50" w:line="700" w:lineRule="exact"/>
        <w:jc w:val="center"/>
        <w:outlineLvl w:val="9"/>
        <w:rPr>
          <w:rFonts w:hint="eastAsia" w:ascii="宋体"/>
          <w:b/>
          <w:color w:val="auto"/>
          <w:sz w:val="32"/>
          <w:szCs w:val="32"/>
          <w:highlight w:val="none"/>
        </w:rPr>
      </w:pPr>
      <w:bookmarkStart w:id="12" w:name="_Toc32059"/>
      <w:bookmarkStart w:id="13" w:name="_Toc22225"/>
      <w:bookmarkStart w:id="14" w:name="_Toc25057"/>
      <w:bookmarkStart w:id="15" w:name="_Toc20499"/>
      <w:r>
        <w:rPr>
          <w:rFonts w:hint="eastAsia" w:ascii="宋体"/>
          <w:b/>
          <w:color w:val="auto"/>
          <w:sz w:val="32"/>
          <w:szCs w:val="32"/>
          <w:highlight w:val="none"/>
        </w:rPr>
        <w:t>招</w:t>
      </w:r>
      <w:r>
        <w:rPr>
          <w:rFonts w:hint="eastAsia" w:ascii="宋体"/>
          <w:b/>
          <w:color w:val="auto"/>
          <w:sz w:val="32"/>
          <w:szCs w:val="32"/>
          <w:highlight w:val="none"/>
          <w:lang w:val="en-US" w:eastAsia="zh-CN"/>
        </w:rPr>
        <w:t xml:space="preserve"> </w:t>
      </w:r>
      <w:r>
        <w:rPr>
          <w:rFonts w:hint="eastAsia" w:ascii="宋体"/>
          <w:b/>
          <w:color w:val="auto"/>
          <w:sz w:val="32"/>
          <w:szCs w:val="32"/>
          <w:highlight w:val="none"/>
        </w:rPr>
        <w:t xml:space="preserve"> </w:t>
      </w:r>
      <w:r>
        <w:rPr>
          <w:rFonts w:hint="eastAsia" w:ascii="宋体"/>
          <w:b/>
          <w:color w:val="auto"/>
          <w:sz w:val="32"/>
          <w:szCs w:val="32"/>
          <w:highlight w:val="none"/>
          <w:lang w:val="en-US" w:eastAsia="zh-CN"/>
        </w:rPr>
        <w:t xml:space="preserve"> </w:t>
      </w:r>
      <w:r>
        <w:rPr>
          <w:rFonts w:hint="eastAsia" w:ascii="宋体"/>
          <w:b/>
          <w:color w:val="auto"/>
          <w:sz w:val="32"/>
          <w:szCs w:val="32"/>
          <w:highlight w:val="none"/>
        </w:rPr>
        <w:t>标</w:t>
      </w:r>
      <w:r>
        <w:rPr>
          <w:rFonts w:hint="eastAsia" w:ascii="宋体"/>
          <w:b/>
          <w:color w:val="auto"/>
          <w:sz w:val="32"/>
          <w:szCs w:val="32"/>
          <w:highlight w:val="none"/>
          <w:lang w:val="en-US" w:eastAsia="zh-CN"/>
        </w:rPr>
        <w:t xml:space="preserve">  </w:t>
      </w:r>
      <w:r>
        <w:rPr>
          <w:rFonts w:hint="eastAsia" w:ascii="宋体"/>
          <w:b/>
          <w:color w:val="auto"/>
          <w:sz w:val="32"/>
          <w:szCs w:val="32"/>
          <w:highlight w:val="none"/>
        </w:rPr>
        <w:t xml:space="preserve"> 人：</w:t>
      </w:r>
      <w:r>
        <w:rPr>
          <w:rFonts w:hint="eastAsia" w:ascii="宋体"/>
          <w:b/>
          <w:color w:val="auto"/>
          <w:sz w:val="32"/>
          <w:szCs w:val="32"/>
          <w:highlight w:val="none"/>
          <w:u w:val="single"/>
          <w:lang w:val="en-US" w:eastAsia="zh-CN"/>
        </w:rPr>
        <w:t xml:space="preserve"> 滁州市皖能兴滁环境科技有限公司</w:t>
      </w:r>
      <w:r>
        <w:rPr>
          <w:rFonts w:hint="eastAsia" w:ascii="宋体"/>
          <w:b/>
          <w:color w:val="auto"/>
          <w:sz w:val="32"/>
          <w:szCs w:val="32"/>
          <w:highlight w:val="none"/>
        </w:rPr>
        <w:t>（盖单位章）</w:t>
      </w:r>
      <w:bookmarkEnd w:id="12"/>
      <w:bookmarkEnd w:id="13"/>
      <w:bookmarkEnd w:id="14"/>
      <w:bookmarkEnd w:id="15"/>
    </w:p>
    <w:p>
      <w:pPr>
        <w:spacing w:before="156" w:beforeLines="50" w:after="156" w:afterLines="50" w:line="700" w:lineRule="exact"/>
        <w:rPr>
          <w:rFonts w:hint="eastAsia" w:ascii="宋体"/>
          <w:b/>
          <w:color w:val="auto"/>
          <w:sz w:val="32"/>
          <w:szCs w:val="32"/>
          <w:highlight w:val="none"/>
          <w:u w:val="single"/>
        </w:rPr>
      </w:pPr>
      <w:r>
        <w:rPr>
          <w:rFonts w:hint="eastAsia" w:ascii="宋体"/>
          <w:b/>
          <w:color w:val="auto"/>
          <w:sz w:val="32"/>
          <w:szCs w:val="32"/>
          <w:highlight w:val="none"/>
        </w:rPr>
        <w:t>招标代理机构：</w:t>
      </w:r>
      <w:r>
        <w:rPr>
          <w:rFonts w:hint="eastAsia" w:ascii="宋体"/>
          <w:b/>
          <w:color w:val="auto"/>
          <w:sz w:val="32"/>
          <w:szCs w:val="32"/>
          <w:highlight w:val="none"/>
          <w:u w:val="single"/>
          <w:lang w:val="en-US" w:eastAsia="zh-CN"/>
        </w:rPr>
        <w:t xml:space="preserve"> </w:t>
      </w:r>
      <w:r>
        <w:rPr>
          <w:rFonts w:hint="eastAsia" w:ascii="宋体"/>
          <w:b/>
          <w:color w:val="auto"/>
          <w:sz w:val="32"/>
          <w:szCs w:val="32"/>
          <w:highlight w:val="none"/>
          <w:u w:val="single"/>
        </w:rPr>
        <w:t>滁州市城投工程咨询管理有限公司</w:t>
      </w:r>
      <w:r>
        <w:rPr>
          <w:rFonts w:hint="eastAsia" w:ascii="宋体"/>
          <w:b/>
          <w:color w:val="auto"/>
          <w:sz w:val="32"/>
          <w:szCs w:val="32"/>
          <w:highlight w:val="none"/>
          <w:u w:val="single"/>
          <w:lang w:val="en-US" w:eastAsia="zh-CN"/>
        </w:rPr>
        <w:t xml:space="preserve"> </w:t>
      </w:r>
      <w:r>
        <w:rPr>
          <w:rFonts w:hint="eastAsia" w:ascii="宋体"/>
          <w:b/>
          <w:color w:val="auto"/>
          <w:sz w:val="32"/>
          <w:szCs w:val="32"/>
          <w:highlight w:val="none"/>
        </w:rPr>
        <w:t>（盖单位章）</w:t>
      </w:r>
    </w:p>
    <w:p>
      <w:pPr>
        <w:spacing w:before="156" w:beforeLines="50" w:after="156" w:afterLines="50" w:line="700" w:lineRule="exact"/>
        <w:jc w:val="center"/>
        <w:rPr>
          <w:rFonts w:hint="default" w:eastAsia="宋体"/>
          <w:color w:val="auto"/>
          <w:sz w:val="44"/>
          <w:szCs w:val="44"/>
          <w:highlight w:val="none"/>
          <w:lang w:val="en-US" w:eastAsia="zh-CN"/>
        </w:rPr>
        <w:sectPr>
          <w:headerReference r:id="rId3" w:type="default"/>
          <w:footerReference r:id="rId4" w:type="default"/>
          <w:pgSz w:w="11906" w:h="16838"/>
          <w:pgMar w:top="1134" w:right="1417" w:bottom="1134" w:left="1417" w:header="851" w:footer="992" w:gutter="0"/>
          <w:pgNumType w:fmt="decimal"/>
          <w:cols w:space="720" w:num="1"/>
          <w:docGrid w:type="lines" w:linePitch="312" w:charSpace="0"/>
        </w:sectPr>
      </w:pPr>
      <w:r>
        <w:rPr>
          <w:rFonts w:hint="eastAsia" w:ascii="宋体"/>
          <w:b/>
          <w:color w:val="auto"/>
          <w:sz w:val="32"/>
          <w:szCs w:val="32"/>
          <w:highlight w:val="none"/>
          <w:u w:val="single"/>
        </w:rPr>
        <w:t>202</w:t>
      </w:r>
      <w:r>
        <w:rPr>
          <w:rFonts w:hint="eastAsia" w:ascii="宋体"/>
          <w:b/>
          <w:color w:val="auto"/>
          <w:sz w:val="32"/>
          <w:szCs w:val="32"/>
          <w:highlight w:val="none"/>
          <w:u w:val="single"/>
          <w:lang w:val="en-US" w:eastAsia="zh-CN"/>
        </w:rPr>
        <w:t>4</w:t>
      </w:r>
      <w:r>
        <w:rPr>
          <w:rFonts w:hint="eastAsia" w:ascii="宋体"/>
          <w:b/>
          <w:color w:val="auto"/>
          <w:sz w:val="32"/>
          <w:szCs w:val="32"/>
          <w:highlight w:val="none"/>
        </w:rPr>
        <w:t>年</w:t>
      </w:r>
      <w:r>
        <w:rPr>
          <w:rFonts w:hint="eastAsia" w:ascii="宋体"/>
          <w:b/>
          <w:color w:val="auto"/>
          <w:sz w:val="32"/>
          <w:szCs w:val="32"/>
          <w:highlight w:val="none"/>
          <w:u w:val="single"/>
          <w:lang w:val="en-US" w:eastAsia="zh-CN"/>
        </w:rPr>
        <w:t>9</w:t>
      </w:r>
      <w:r>
        <w:rPr>
          <w:rFonts w:hint="eastAsia" w:ascii="宋体"/>
          <w:b/>
          <w:color w:val="auto"/>
          <w:sz w:val="32"/>
          <w:szCs w:val="32"/>
          <w:highlight w:val="none"/>
        </w:rPr>
        <w:t>月</w:t>
      </w:r>
      <w:r>
        <w:rPr>
          <w:rFonts w:hint="eastAsia" w:ascii="宋体" w:hAnsi="Times New Roman" w:cs="Times New Roman"/>
          <w:b/>
          <w:color w:val="auto"/>
          <w:sz w:val="32"/>
          <w:szCs w:val="32"/>
          <w:highlight w:val="none"/>
          <w:u w:val="single"/>
          <w:lang w:val="en-US" w:eastAsia="zh-CN"/>
        </w:rPr>
        <w:t>6</w:t>
      </w:r>
      <w:r>
        <w:rPr>
          <w:rFonts w:hint="eastAsia" w:ascii="宋体" w:hAnsi="Times New Roman" w:cs="Times New Roman"/>
          <w:b/>
          <w:color w:val="auto"/>
          <w:sz w:val="32"/>
          <w:szCs w:val="32"/>
          <w:highlight w:val="none"/>
          <w:lang w:val="en-US" w:eastAsia="zh-CN"/>
        </w:rPr>
        <w:t>日</w:t>
      </w:r>
    </w:p>
    <w:p>
      <w:pPr>
        <w:spacing w:line="700" w:lineRule="exact"/>
        <w:jc w:val="center"/>
        <w:rPr>
          <w:rFonts w:hint="eastAsia"/>
          <w:color w:val="auto"/>
          <w:sz w:val="44"/>
          <w:szCs w:val="44"/>
          <w:highlight w:val="none"/>
        </w:rPr>
      </w:pPr>
    </w:p>
    <w:p>
      <w:pPr>
        <w:spacing w:line="700" w:lineRule="exact"/>
        <w:jc w:val="center"/>
        <w:rPr>
          <w:color w:val="auto"/>
          <w:sz w:val="44"/>
          <w:szCs w:val="44"/>
          <w:highlight w:val="none"/>
        </w:rPr>
      </w:pPr>
      <w:r>
        <w:rPr>
          <w:rFonts w:hint="eastAsia"/>
          <w:color w:val="auto"/>
          <w:sz w:val="44"/>
          <w:szCs w:val="44"/>
          <w:highlight w:val="none"/>
        </w:rPr>
        <w:t>目   录</w:t>
      </w:r>
      <w:bookmarkEnd w:id="0"/>
      <w:bookmarkEnd w:id="1"/>
      <w:bookmarkEnd w:id="2"/>
      <w:bookmarkEnd w:id="3"/>
      <w:bookmarkEnd w:id="4"/>
      <w:bookmarkEnd w:id="5"/>
      <w:bookmarkEnd w:id="6"/>
      <w:bookmarkStart w:id="16" w:name="_Toc144974479"/>
      <w:bookmarkStart w:id="17" w:name="_Toc152042287"/>
      <w:bookmarkStart w:id="18" w:name="_Toc179632527"/>
      <w:bookmarkStart w:id="19" w:name="_Toc152045511"/>
    </w:p>
    <w:p>
      <w:pPr>
        <w:pStyle w:val="32"/>
        <w:tabs>
          <w:tab w:val="right" w:leader="dot" w:pos="9072"/>
        </w:tabs>
        <w:rPr>
          <w:rFonts w:hint="eastAsia" w:ascii="宋体" w:hAnsi="宋体" w:eastAsia="宋体" w:cs="宋体"/>
          <w:b w:val="0"/>
          <w:bCs w:val="0"/>
          <w:sz w:val="28"/>
          <w:szCs w:val="28"/>
          <w:highlight w:val="none"/>
        </w:rPr>
      </w:pPr>
      <w:r>
        <w:rPr>
          <w:rFonts w:hint="eastAsia" w:ascii="宋体" w:hAnsi="宋体" w:eastAsia="宋体" w:cs="宋体"/>
          <w:b w:val="0"/>
          <w:bCs w:val="0"/>
          <w:caps w:val="0"/>
          <w:color w:val="auto"/>
          <w:sz w:val="28"/>
          <w:szCs w:val="28"/>
          <w:highlight w:val="none"/>
          <w:lang w:val="en-US" w:eastAsia="zh-CN"/>
        </w:rPr>
        <w:fldChar w:fldCharType="begin"/>
      </w:r>
      <w:r>
        <w:rPr>
          <w:rFonts w:hint="eastAsia" w:ascii="宋体" w:hAnsi="宋体" w:eastAsia="宋体" w:cs="宋体"/>
          <w:b w:val="0"/>
          <w:bCs w:val="0"/>
          <w:caps w:val="0"/>
          <w:color w:val="auto"/>
          <w:sz w:val="28"/>
          <w:szCs w:val="28"/>
          <w:highlight w:val="none"/>
          <w:lang w:val="en-US" w:eastAsia="zh-CN"/>
        </w:rPr>
        <w:instrText xml:space="preserve">TOC \o "1-1" \h \u </w:instrText>
      </w:r>
      <w:r>
        <w:rPr>
          <w:rFonts w:hint="eastAsia" w:ascii="宋体" w:hAnsi="宋体" w:eastAsia="宋体" w:cs="宋体"/>
          <w:b w:val="0"/>
          <w:bCs w:val="0"/>
          <w:caps w:val="0"/>
          <w:color w:val="auto"/>
          <w:sz w:val="28"/>
          <w:szCs w:val="28"/>
          <w:highlight w:val="none"/>
          <w:lang w:val="en-US" w:eastAsia="zh-CN"/>
        </w:rPr>
        <w:fldChar w:fldCharType="separate"/>
      </w:r>
      <w:r>
        <w:rPr>
          <w:rFonts w:hint="eastAsia" w:ascii="宋体" w:hAnsi="宋体" w:eastAsia="宋体" w:cs="宋体"/>
          <w:b w:val="0"/>
          <w:bCs w:val="0"/>
          <w:caps w:val="0"/>
          <w:color w:val="auto"/>
          <w:sz w:val="28"/>
          <w:szCs w:val="28"/>
          <w:highlight w:val="none"/>
          <w:lang w:val="en-US" w:eastAsia="zh-CN"/>
        </w:rPr>
        <w:fldChar w:fldCharType="begin"/>
      </w:r>
      <w:r>
        <w:rPr>
          <w:rFonts w:hint="eastAsia" w:ascii="宋体" w:hAnsi="宋体" w:eastAsia="宋体" w:cs="宋体"/>
          <w:b w:val="0"/>
          <w:bCs w:val="0"/>
          <w:caps w:val="0"/>
          <w:sz w:val="28"/>
          <w:szCs w:val="28"/>
          <w:highlight w:val="none"/>
          <w:lang w:val="en-US" w:eastAsia="zh-CN"/>
        </w:rPr>
        <w:instrText xml:space="preserve"> HYPERLINK \l _Toc12261 </w:instrText>
      </w:r>
      <w:r>
        <w:rPr>
          <w:rFonts w:hint="eastAsia" w:ascii="宋体" w:hAnsi="宋体" w:eastAsia="宋体" w:cs="宋体"/>
          <w:b w:val="0"/>
          <w:bCs w:val="0"/>
          <w:caps w:val="0"/>
          <w:sz w:val="28"/>
          <w:szCs w:val="28"/>
          <w:highlight w:val="none"/>
          <w:lang w:val="en-US" w:eastAsia="zh-CN"/>
        </w:rPr>
        <w:fldChar w:fldCharType="separate"/>
      </w:r>
      <w:r>
        <w:rPr>
          <w:rFonts w:hint="eastAsia" w:ascii="宋体" w:hAnsi="宋体" w:eastAsia="宋体" w:cs="宋体"/>
          <w:b w:val="0"/>
          <w:bCs w:val="0"/>
          <w:sz w:val="28"/>
          <w:szCs w:val="28"/>
          <w:highlight w:val="none"/>
        </w:rPr>
        <w:t>招标公告信息</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PAGEREF _Toc12261 \h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1</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caps w:val="0"/>
          <w:color w:val="auto"/>
          <w:sz w:val="28"/>
          <w:szCs w:val="28"/>
          <w:highlight w:val="none"/>
          <w:lang w:val="en-US" w:eastAsia="zh-CN"/>
        </w:rPr>
        <w:fldChar w:fldCharType="end"/>
      </w:r>
    </w:p>
    <w:p>
      <w:pPr>
        <w:pStyle w:val="32"/>
        <w:tabs>
          <w:tab w:val="right" w:leader="dot" w:pos="9072"/>
        </w:tabs>
        <w:rPr>
          <w:rFonts w:hint="eastAsia" w:ascii="宋体" w:hAnsi="宋体" w:eastAsia="宋体" w:cs="宋体"/>
          <w:b w:val="0"/>
          <w:bCs w:val="0"/>
          <w:sz w:val="28"/>
          <w:szCs w:val="28"/>
          <w:highlight w:val="none"/>
        </w:rPr>
      </w:pPr>
      <w:r>
        <w:rPr>
          <w:rFonts w:hint="eastAsia" w:ascii="宋体" w:hAnsi="宋体" w:eastAsia="宋体" w:cs="宋体"/>
          <w:b w:val="0"/>
          <w:bCs w:val="0"/>
          <w:caps w:val="0"/>
          <w:color w:val="auto"/>
          <w:sz w:val="28"/>
          <w:szCs w:val="28"/>
          <w:highlight w:val="none"/>
          <w:lang w:val="en-US" w:eastAsia="zh-CN"/>
        </w:rPr>
        <w:fldChar w:fldCharType="begin"/>
      </w:r>
      <w:r>
        <w:rPr>
          <w:rFonts w:hint="eastAsia" w:ascii="宋体" w:hAnsi="宋体" w:eastAsia="宋体" w:cs="宋体"/>
          <w:b w:val="0"/>
          <w:bCs w:val="0"/>
          <w:caps w:val="0"/>
          <w:sz w:val="28"/>
          <w:szCs w:val="28"/>
          <w:highlight w:val="none"/>
          <w:lang w:val="en-US" w:eastAsia="zh-CN"/>
        </w:rPr>
        <w:instrText xml:space="preserve"> HYPERLINK \l _Toc18989 </w:instrText>
      </w:r>
      <w:r>
        <w:rPr>
          <w:rFonts w:hint="eastAsia" w:ascii="宋体" w:hAnsi="宋体" w:eastAsia="宋体" w:cs="宋体"/>
          <w:b w:val="0"/>
          <w:bCs w:val="0"/>
          <w:caps w:val="0"/>
          <w:sz w:val="28"/>
          <w:szCs w:val="28"/>
          <w:highlight w:val="none"/>
          <w:lang w:val="en-US" w:eastAsia="zh-CN"/>
        </w:rPr>
        <w:fldChar w:fldCharType="separate"/>
      </w:r>
      <w:r>
        <w:rPr>
          <w:rFonts w:hint="eastAsia" w:ascii="宋体" w:hAnsi="宋体" w:eastAsia="宋体" w:cs="宋体"/>
          <w:b w:val="0"/>
          <w:bCs w:val="0"/>
          <w:sz w:val="28"/>
          <w:szCs w:val="28"/>
          <w:highlight w:val="none"/>
        </w:rPr>
        <w:t>第一章  投标人须知</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PAGEREF _Toc18989 \h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3</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caps w:val="0"/>
          <w:color w:val="auto"/>
          <w:sz w:val="28"/>
          <w:szCs w:val="28"/>
          <w:highlight w:val="none"/>
          <w:lang w:val="en-US" w:eastAsia="zh-CN"/>
        </w:rPr>
        <w:fldChar w:fldCharType="end"/>
      </w:r>
    </w:p>
    <w:p>
      <w:pPr>
        <w:pStyle w:val="32"/>
        <w:tabs>
          <w:tab w:val="right" w:leader="dot" w:pos="9072"/>
        </w:tabs>
        <w:rPr>
          <w:rFonts w:hint="eastAsia" w:ascii="宋体" w:hAnsi="宋体" w:eastAsia="宋体" w:cs="宋体"/>
          <w:b w:val="0"/>
          <w:bCs w:val="0"/>
          <w:sz w:val="28"/>
          <w:szCs w:val="28"/>
          <w:highlight w:val="none"/>
        </w:rPr>
      </w:pPr>
      <w:r>
        <w:rPr>
          <w:rFonts w:hint="eastAsia" w:ascii="宋体" w:hAnsi="宋体" w:eastAsia="宋体" w:cs="宋体"/>
          <w:b w:val="0"/>
          <w:bCs w:val="0"/>
          <w:caps w:val="0"/>
          <w:color w:val="auto"/>
          <w:sz w:val="28"/>
          <w:szCs w:val="28"/>
          <w:highlight w:val="none"/>
          <w:lang w:val="en-US" w:eastAsia="zh-CN"/>
        </w:rPr>
        <w:fldChar w:fldCharType="begin"/>
      </w:r>
      <w:r>
        <w:rPr>
          <w:rFonts w:hint="eastAsia" w:ascii="宋体" w:hAnsi="宋体" w:eastAsia="宋体" w:cs="宋体"/>
          <w:b w:val="0"/>
          <w:bCs w:val="0"/>
          <w:caps w:val="0"/>
          <w:sz w:val="28"/>
          <w:szCs w:val="28"/>
          <w:highlight w:val="none"/>
          <w:lang w:val="en-US" w:eastAsia="zh-CN"/>
        </w:rPr>
        <w:instrText xml:space="preserve"> HYPERLINK \l _Toc5501 </w:instrText>
      </w:r>
      <w:r>
        <w:rPr>
          <w:rFonts w:hint="eastAsia" w:ascii="宋体" w:hAnsi="宋体" w:eastAsia="宋体" w:cs="宋体"/>
          <w:b w:val="0"/>
          <w:bCs w:val="0"/>
          <w:caps w:val="0"/>
          <w:sz w:val="28"/>
          <w:szCs w:val="28"/>
          <w:highlight w:val="none"/>
          <w:lang w:val="en-US" w:eastAsia="zh-CN"/>
        </w:rPr>
        <w:fldChar w:fldCharType="separate"/>
      </w:r>
      <w:r>
        <w:rPr>
          <w:rFonts w:hint="eastAsia" w:ascii="宋体" w:hAnsi="宋体" w:eastAsia="宋体" w:cs="宋体"/>
          <w:b w:val="0"/>
          <w:bCs w:val="0"/>
          <w:sz w:val="28"/>
          <w:szCs w:val="28"/>
          <w:highlight w:val="none"/>
        </w:rPr>
        <w:t>第二章  资格审查办法</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PAGEREF _Toc5501 \h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16</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caps w:val="0"/>
          <w:color w:val="auto"/>
          <w:sz w:val="28"/>
          <w:szCs w:val="28"/>
          <w:highlight w:val="none"/>
          <w:lang w:val="en-US" w:eastAsia="zh-CN"/>
        </w:rPr>
        <w:fldChar w:fldCharType="end"/>
      </w:r>
    </w:p>
    <w:p>
      <w:pPr>
        <w:pStyle w:val="32"/>
        <w:tabs>
          <w:tab w:val="right" w:leader="dot" w:pos="9072"/>
        </w:tabs>
        <w:rPr>
          <w:rFonts w:hint="eastAsia" w:ascii="宋体" w:hAnsi="宋体" w:eastAsia="宋体" w:cs="宋体"/>
          <w:b w:val="0"/>
          <w:bCs w:val="0"/>
          <w:sz w:val="28"/>
          <w:szCs w:val="28"/>
          <w:highlight w:val="none"/>
        </w:rPr>
      </w:pPr>
      <w:r>
        <w:rPr>
          <w:rFonts w:hint="eastAsia" w:ascii="宋体" w:hAnsi="宋体" w:eastAsia="宋体" w:cs="宋体"/>
          <w:b w:val="0"/>
          <w:bCs w:val="0"/>
          <w:caps w:val="0"/>
          <w:color w:val="auto"/>
          <w:sz w:val="28"/>
          <w:szCs w:val="28"/>
          <w:highlight w:val="none"/>
          <w:lang w:val="en-US" w:eastAsia="zh-CN"/>
        </w:rPr>
        <w:fldChar w:fldCharType="begin"/>
      </w:r>
      <w:r>
        <w:rPr>
          <w:rFonts w:hint="eastAsia" w:ascii="宋体" w:hAnsi="宋体" w:eastAsia="宋体" w:cs="宋体"/>
          <w:b w:val="0"/>
          <w:bCs w:val="0"/>
          <w:caps w:val="0"/>
          <w:sz w:val="28"/>
          <w:szCs w:val="28"/>
          <w:highlight w:val="none"/>
          <w:lang w:val="en-US" w:eastAsia="zh-CN"/>
        </w:rPr>
        <w:instrText xml:space="preserve"> HYPERLINK \l _Toc1286 </w:instrText>
      </w:r>
      <w:r>
        <w:rPr>
          <w:rFonts w:hint="eastAsia" w:ascii="宋体" w:hAnsi="宋体" w:eastAsia="宋体" w:cs="宋体"/>
          <w:b w:val="0"/>
          <w:bCs w:val="0"/>
          <w:caps w:val="0"/>
          <w:sz w:val="28"/>
          <w:szCs w:val="28"/>
          <w:highlight w:val="none"/>
          <w:lang w:val="en-US" w:eastAsia="zh-CN"/>
        </w:rPr>
        <w:fldChar w:fldCharType="separate"/>
      </w:r>
      <w:r>
        <w:rPr>
          <w:rFonts w:hint="eastAsia" w:ascii="宋体" w:hAnsi="宋体" w:eastAsia="宋体" w:cs="宋体"/>
          <w:b w:val="0"/>
          <w:bCs w:val="0"/>
          <w:kern w:val="0"/>
          <w:sz w:val="28"/>
          <w:szCs w:val="28"/>
          <w:highlight w:val="none"/>
        </w:rPr>
        <w:t xml:space="preserve">第三章 </w:t>
      </w:r>
      <w:r>
        <w:rPr>
          <w:rFonts w:hint="eastAsia" w:ascii="宋体" w:hAnsi="宋体" w:eastAsia="宋体" w:cs="宋体"/>
          <w:b w:val="0"/>
          <w:bCs w:val="0"/>
          <w:kern w:val="0"/>
          <w:sz w:val="28"/>
          <w:szCs w:val="28"/>
          <w:highlight w:val="none"/>
          <w:lang w:val="en-US" w:eastAsia="zh-CN"/>
        </w:rPr>
        <w:t xml:space="preserve"> </w:t>
      </w:r>
      <w:r>
        <w:rPr>
          <w:rFonts w:hint="eastAsia" w:ascii="宋体" w:hAnsi="宋体" w:eastAsia="宋体" w:cs="宋体"/>
          <w:b w:val="0"/>
          <w:bCs w:val="0"/>
          <w:kern w:val="0"/>
          <w:sz w:val="28"/>
          <w:szCs w:val="28"/>
          <w:highlight w:val="none"/>
        </w:rPr>
        <w:t>评标办法</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PAGEREF _Toc1286 \h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18</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caps w:val="0"/>
          <w:color w:val="auto"/>
          <w:sz w:val="28"/>
          <w:szCs w:val="28"/>
          <w:highlight w:val="none"/>
          <w:lang w:val="en-US" w:eastAsia="zh-CN"/>
        </w:rPr>
        <w:fldChar w:fldCharType="end"/>
      </w:r>
    </w:p>
    <w:p>
      <w:pPr>
        <w:pStyle w:val="32"/>
        <w:tabs>
          <w:tab w:val="right" w:leader="dot" w:pos="9072"/>
        </w:tabs>
        <w:rPr>
          <w:rFonts w:hint="eastAsia" w:ascii="宋体" w:hAnsi="宋体" w:eastAsia="宋体" w:cs="宋体"/>
          <w:b w:val="0"/>
          <w:bCs w:val="0"/>
          <w:sz w:val="28"/>
          <w:szCs w:val="28"/>
          <w:highlight w:val="none"/>
        </w:rPr>
      </w:pPr>
      <w:r>
        <w:rPr>
          <w:rFonts w:hint="eastAsia" w:ascii="宋体" w:hAnsi="宋体" w:eastAsia="宋体" w:cs="宋体"/>
          <w:b w:val="0"/>
          <w:bCs w:val="0"/>
          <w:caps w:val="0"/>
          <w:color w:val="auto"/>
          <w:sz w:val="28"/>
          <w:szCs w:val="28"/>
          <w:highlight w:val="none"/>
          <w:lang w:val="en-US" w:eastAsia="zh-CN"/>
        </w:rPr>
        <w:fldChar w:fldCharType="begin"/>
      </w:r>
      <w:r>
        <w:rPr>
          <w:rFonts w:hint="eastAsia" w:ascii="宋体" w:hAnsi="宋体" w:eastAsia="宋体" w:cs="宋体"/>
          <w:b w:val="0"/>
          <w:bCs w:val="0"/>
          <w:caps w:val="0"/>
          <w:sz w:val="28"/>
          <w:szCs w:val="28"/>
          <w:highlight w:val="none"/>
          <w:lang w:val="en-US" w:eastAsia="zh-CN"/>
        </w:rPr>
        <w:instrText xml:space="preserve"> HYPERLINK \l _Toc8750 </w:instrText>
      </w:r>
      <w:r>
        <w:rPr>
          <w:rFonts w:hint="eastAsia" w:ascii="宋体" w:hAnsi="宋体" w:eastAsia="宋体" w:cs="宋体"/>
          <w:b w:val="0"/>
          <w:bCs w:val="0"/>
          <w:caps w:val="0"/>
          <w:sz w:val="28"/>
          <w:szCs w:val="28"/>
          <w:highlight w:val="none"/>
          <w:lang w:val="en-US" w:eastAsia="zh-CN"/>
        </w:rPr>
        <w:fldChar w:fldCharType="separate"/>
      </w:r>
      <w:r>
        <w:rPr>
          <w:rFonts w:hint="eastAsia" w:ascii="宋体" w:hAnsi="宋体" w:eastAsia="宋体" w:cs="宋体"/>
          <w:b w:val="0"/>
          <w:bCs w:val="0"/>
          <w:kern w:val="0"/>
          <w:sz w:val="28"/>
          <w:szCs w:val="28"/>
          <w:highlight w:val="none"/>
        </w:rPr>
        <w:t>第</w:t>
      </w:r>
      <w:r>
        <w:rPr>
          <w:rFonts w:hint="eastAsia" w:ascii="宋体" w:hAnsi="宋体" w:eastAsia="宋体" w:cs="宋体"/>
          <w:b w:val="0"/>
          <w:bCs w:val="0"/>
          <w:kern w:val="0"/>
          <w:sz w:val="28"/>
          <w:szCs w:val="28"/>
          <w:highlight w:val="none"/>
          <w:lang w:val="en-US" w:eastAsia="zh-CN"/>
        </w:rPr>
        <w:t>四</w:t>
      </w:r>
      <w:r>
        <w:rPr>
          <w:rFonts w:hint="eastAsia" w:ascii="宋体" w:hAnsi="宋体" w:eastAsia="宋体" w:cs="宋体"/>
          <w:b w:val="0"/>
          <w:bCs w:val="0"/>
          <w:kern w:val="0"/>
          <w:sz w:val="28"/>
          <w:szCs w:val="28"/>
          <w:highlight w:val="none"/>
        </w:rPr>
        <w:t>章  合同条款及格式</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PAGEREF _Toc8750 \h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26</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caps w:val="0"/>
          <w:color w:val="auto"/>
          <w:sz w:val="28"/>
          <w:szCs w:val="28"/>
          <w:highlight w:val="none"/>
          <w:lang w:val="en-US" w:eastAsia="zh-CN"/>
        </w:rPr>
        <w:fldChar w:fldCharType="end"/>
      </w:r>
    </w:p>
    <w:p>
      <w:pPr>
        <w:pStyle w:val="32"/>
        <w:tabs>
          <w:tab w:val="right" w:leader="dot" w:pos="9072"/>
        </w:tabs>
        <w:rPr>
          <w:rFonts w:hint="eastAsia" w:ascii="宋体" w:hAnsi="宋体" w:eastAsia="宋体" w:cs="宋体"/>
          <w:b w:val="0"/>
          <w:bCs w:val="0"/>
          <w:sz w:val="28"/>
          <w:szCs w:val="28"/>
          <w:highlight w:val="none"/>
        </w:rPr>
      </w:pPr>
      <w:r>
        <w:rPr>
          <w:rFonts w:hint="eastAsia" w:ascii="宋体" w:hAnsi="宋体" w:eastAsia="宋体" w:cs="宋体"/>
          <w:b w:val="0"/>
          <w:bCs w:val="0"/>
          <w:caps w:val="0"/>
          <w:color w:val="auto"/>
          <w:sz w:val="28"/>
          <w:szCs w:val="28"/>
          <w:highlight w:val="none"/>
          <w:lang w:val="en-US" w:eastAsia="zh-CN"/>
        </w:rPr>
        <w:fldChar w:fldCharType="begin"/>
      </w:r>
      <w:r>
        <w:rPr>
          <w:rFonts w:hint="eastAsia" w:ascii="宋体" w:hAnsi="宋体" w:eastAsia="宋体" w:cs="宋体"/>
          <w:b w:val="0"/>
          <w:bCs w:val="0"/>
          <w:caps w:val="0"/>
          <w:sz w:val="28"/>
          <w:szCs w:val="28"/>
          <w:highlight w:val="none"/>
          <w:lang w:val="en-US" w:eastAsia="zh-CN"/>
        </w:rPr>
        <w:instrText xml:space="preserve"> HYPERLINK \l _Toc3388 </w:instrText>
      </w:r>
      <w:r>
        <w:rPr>
          <w:rFonts w:hint="eastAsia" w:ascii="宋体" w:hAnsi="宋体" w:eastAsia="宋体" w:cs="宋体"/>
          <w:b w:val="0"/>
          <w:bCs w:val="0"/>
          <w:caps w:val="0"/>
          <w:sz w:val="28"/>
          <w:szCs w:val="28"/>
          <w:highlight w:val="none"/>
          <w:lang w:val="en-US" w:eastAsia="zh-CN"/>
        </w:rPr>
        <w:fldChar w:fldCharType="separate"/>
      </w:r>
      <w:r>
        <w:rPr>
          <w:rFonts w:hint="eastAsia" w:ascii="宋体" w:hAnsi="宋体" w:eastAsia="宋体" w:cs="宋体"/>
          <w:b w:val="0"/>
          <w:bCs w:val="0"/>
          <w:sz w:val="28"/>
          <w:szCs w:val="28"/>
          <w:highlight w:val="none"/>
        </w:rPr>
        <w:t xml:space="preserve">第五章 </w:t>
      </w:r>
      <w:r>
        <w:rPr>
          <w:rFonts w:hint="eastAsia" w:ascii="宋体" w:hAnsi="宋体" w:eastAsia="宋体" w:cs="宋体"/>
          <w:b w:val="0"/>
          <w:bCs w:val="0"/>
          <w:sz w:val="28"/>
          <w:szCs w:val="28"/>
          <w:highlight w:val="none"/>
          <w:lang w:val="en-US" w:eastAsia="zh-CN"/>
        </w:rPr>
        <w:t xml:space="preserve"> </w:t>
      </w:r>
      <w:r>
        <w:rPr>
          <w:rFonts w:hint="eastAsia" w:ascii="宋体" w:hAnsi="宋体" w:eastAsia="宋体" w:cs="宋体"/>
          <w:b w:val="0"/>
          <w:bCs w:val="0"/>
          <w:sz w:val="28"/>
          <w:szCs w:val="28"/>
          <w:highlight w:val="none"/>
        </w:rPr>
        <w:t>工程量清单</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PAGEREF _Toc3388 \h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62</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caps w:val="0"/>
          <w:color w:val="auto"/>
          <w:sz w:val="28"/>
          <w:szCs w:val="28"/>
          <w:highlight w:val="none"/>
          <w:lang w:val="en-US" w:eastAsia="zh-CN"/>
        </w:rPr>
        <w:fldChar w:fldCharType="end"/>
      </w:r>
    </w:p>
    <w:p>
      <w:pPr>
        <w:pStyle w:val="32"/>
        <w:tabs>
          <w:tab w:val="right" w:leader="dot" w:pos="9072"/>
        </w:tabs>
        <w:rPr>
          <w:rFonts w:hint="eastAsia" w:ascii="宋体" w:hAnsi="宋体" w:eastAsia="宋体" w:cs="宋体"/>
          <w:b w:val="0"/>
          <w:bCs w:val="0"/>
          <w:sz w:val="28"/>
          <w:szCs w:val="28"/>
          <w:highlight w:val="none"/>
        </w:rPr>
      </w:pPr>
      <w:r>
        <w:rPr>
          <w:rFonts w:hint="eastAsia" w:ascii="宋体" w:hAnsi="宋体" w:eastAsia="宋体" w:cs="宋体"/>
          <w:b w:val="0"/>
          <w:bCs w:val="0"/>
          <w:caps w:val="0"/>
          <w:color w:val="auto"/>
          <w:sz w:val="28"/>
          <w:szCs w:val="28"/>
          <w:highlight w:val="none"/>
          <w:lang w:val="en-US" w:eastAsia="zh-CN"/>
        </w:rPr>
        <w:fldChar w:fldCharType="begin"/>
      </w:r>
      <w:r>
        <w:rPr>
          <w:rFonts w:hint="eastAsia" w:ascii="宋体" w:hAnsi="宋体" w:eastAsia="宋体" w:cs="宋体"/>
          <w:b w:val="0"/>
          <w:bCs w:val="0"/>
          <w:caps w:val="0"/>
          <w:sz w:val="28"/>
          <w:szCs w:val="28"/>
          <w:highlight w:val="none"/>
          <w:lang w:val="en-US" w:eastAsia="zh-CN"/>
        </w:rPr>
        <w:instrText xml:space="preserve"> HYPERLINK \l _Toc25013 </w:instrText>
      </w:r>
      <w:r>
        <w:rPr>
          <w:rFonts w:hint="eastAsia" w:ascii="宋体" w:hAnsi="宋体" w:eastAsia="宋体" w:cs="宋体"/>
          <w:b w:val="0"/>
          <w:bCs w:val="0"/>
          <w:caps w:val="0"/>
          <w:sz w:val="28"/>
          <w:szCs w:val="28"/>
          <w:highlight w:val="none"/>
          <w:lang w:val="en-US" w:eastAsia="zh-CN"/>
        </w:rPr>
        <w:fldChar w:fldCharType="separate"/>
      </w:r>
      <w:r>
        <w:rPr>
          <w:rFonts w:hint="eastAsia" w:ascii="宋体" w:hAnsi="宋体" w:eastAsia="宋体" w:cs="宋体"/>
          <w:b w:val="0"/>
          <w:bCs w:val="0"/>
          <w:sz w:val="28"/>
          <w:szCs w:val="28"/>
          <w:highlight w:val="none"/>
        </w:rPr>
        <w:t xml:space="preserve">第六章 </w:t>
      </w:r>
      <w:r>
        <w:rPr>
          <w:rFonts w:hint="eastAsia" w:ascii="宋体" w:hAnsi="宋体" w:eastAsia="宋体" w:cs="宋体"/>
          <w:b w:val="0"/>
          <w:bCs w:val="0"/>
          <w:sz w:val="28"/>
          <w:szCs w:val="28"/>
          <w:highlight w:val="none"/>
          <w:lang w:val="en-US" w:eastAsia="zh-CN"/>
        </w:rPr>
        <w:t xml:space="preserve"> 图纸</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PAGEREF _Toc25013 \h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63</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caps w:val="0"/>
          <w:color w:val="auto"/>
          <w:sz w:val="28"/>
          <w:szCs w:val="28"/>
          <w:highlight w:val="none"/>
          <w:lang w:val="en-US" w:eastAsia="zh-CN"/>
        </w:rPr>
        <w:fldChar w:fldCharType="end"/>
      </w:r>
    </w:p>
    <w:p>
      <w:pPr>
        <w:pStyle w:val="32"/>
        <w:tabs>
          <w:tab w:val="right" w:leader="dot" w:pos="9072"/>
        </w:tabs>
        <w:rPr>
          <w:rFonts w:hint="eastAsia" w:ascii="宋体" w:hAnsi="宋体" w:eastAsia="宋体" w:cs="宋体"/>
          <w:b w:val="0"/>
          <w:bCs w:val="0"/>
          <w:sz w:val="28"/>
          <w:szCs w:val="28"/>
          <w:highlight w:val="none"/>
        </w:rPr>
      </w:pPr>
      <w:r>
        <w:rPr>
          <w:rFonts w:hint="eastAsia" w:ascii="宋体" w:hAnsi="宋体" w:eastAsia="宋体" w:cs="宋体"/>
          <w:b w:val="0"/>
          <w:bCs w:val="0"/>
          <w:caps w:val="0"/>
          <w:color w:val="auto"/>
          <w:sz w:val="28"/>
          <w:szCs w:val="28"/>
          <w:highlight w:val="none"/>
          <w:lang w:val="en-US" w:eastAsia="zh-CN"/>
        </w:rPr>
        <w:fldChar w:fldCharType="begin"/>
      </w:r>
      <w:r>
        <w:rPr>
          <w:rFonts w:hint="eastAsia" w:ascii="宋体" w:hAnsi="宋体" w:eastAsia="宋体" w:cs="宋体"/>
          <w:b w:val="0"/>
          <w:bCs w:val="0"/>
          <w:caps w:val="0"/>
          <w:sz w:val="28"/>
          <w:szCs w:val="28"/>
          <w:highlight w:val="none"/>
          <w:lang w:val="en-US" w:eastAsia="zh-CN"/>
        </w:rPr>
        <w:instrText xml:space="preserve"> HYPERLINK \l _Toc8272 </w:instrText>
      </w:r>
      <w:r>
        <w:rPr>
          <w:rFonts w:hint="eastAsia" w:ascii="宋体" w:hAnsi="宋体" w:eastAsia="宋体" w:cs="宋体"/>
          <w:b w:val="0"/>
          <w:bCs w:val="0"/>
          <w:caps w:val="0"/>
          <w:sz w:val="28"/>
          <w:szCs w:val="28"/>
          <w:highlight w:val="none"/>
          <w:lang w:val="en-US" w:eastAsia="zh-CN"/>
        </w:rPr>
        <w:fldChar w:fldCharType="separate"/>
      </w:r>
      <w:r>
        <w:rPr>
          <w:rFonts w:hint="eastAsia" w:ascii="宋体" w:hAnsi="宋体" w:eastAsia="宋体" w:cs="宋体"/>
          <w:b w:val="0"/>
          <w:bCs w:val="0"/>
          <w:sz w:val="28"/>
          <w:szCs w:val="28"/>
          <w:highlight w:val="none"/>
        </w:rPr>
        <w:t>第</w:t>
      </w:r>
      <w:r>
        <w:rPr>
          <w:rFonts w:hint="eastAsia" w:ascii="宋体" w:hAnsi="宋体" w:eastAsia="宋体" w:cs="宋体"/>
          <w:b w:val="0"/>
          <w:bCs w:val="0"/>
          <w:sz w:val="28"/>
          <w:szCs w:val="28"/>
          <w:highlight w:val="none"/>
          <w:lang w:val="en-US" w:eastAsia="zh-CN"/>
        </w:rPr>
        <w:t>七</w:t>
      </w:r>
      <w:r>
        <w:rPr>
          <w:rFonts w:hint="eastAsia" w:ascii="宋体" w:hAnsi="宋体" w:eastAsia="宋体" w:cs="宋体"/>
          <w:b w:val="0"/>
          <w:bCs w:val="0"/>
          <w:sz w:val="28"/>
          <w:szCs w:val="28"/>
          <w:highlight w:val="none"/>
        </w:rPr>
        <w:t>章  投标文件格式</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PAGEREF _Toc8272 \h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64</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caps w:val="0"/>
          <w:color w:val="auto"/>
          <w:sz w:val="28"/>
          <w:szCs w:val="28"/>
          <w:highlight w:val="none"/>
          <w:lang w:val="en-US" w:eastAsia="zh-CN"/>
        </w:rPr>
        <w:fldChar w:fldCharType="end"/>
      </w:r>
    </w:p>
    <w:p>
      <w:pPr>
        <w:pStyle w:val="32"/>
        <w:tabs>
          <w:tab w:val="right" w:leader="dot" w:pos="9072"/>
        </w:tabs>
        <w:rPr>
          <w:rFonts w:hint="eastAsia" w:ascii="宋体" w:hAnsi="宋体" w:eastAsia="宋体" w:cs="宋体"/>
          <w:b w:val="0"/>
          <w:bCs w:val="0"/>
          <w:sz w:val="28"/>
          <w:szCs w:val="28"/>
          <w:highlight w:val="none"/>
        </w:rPr>
      </w:pPr>
      <w:r>
        <w:rPr>
          <w:rFonts w:hint="eastAsia" w:ascii="宋体" w:hAnsi="宋体" w:eastAsia="宋体" w:cs="宋体"/>
          <w:b w:val="0"/>
          <w:bCs w:val="0"/>
          <w:caps w:val="0"/>
          <w:color w:val="auto"/>
          <w:sz w:val="28"/>
          <w:szCs w:val="28"/>
          <w:highlight w:val="none"/>
          <w:lang w:val="en-US" w:eastAsia="zh-CN"/>
        </w:rPr>
        <w:fldChar w:fldCharType="begin"/>
      </w:r>
      <w:r>
        <w:rPr>
          <w:rFonts w:hint="eastAsia" w:ascii="宋体" w:hAnsi="宋体" w:eastAsia="宋体" w:cs="宋体"/>
          <w:b w:val="0"/>
          <w:bCs w:val="0"/>
          <w:caps w:val="0"/>
          <w:sz w:val="28"/>
          <w:szCs w:val="28"/>
          <w:highlight w:val="none"/>
          <w:lang w:val="en-US" w:eastAsia="zh-CN"/>
        </w:rPr>
        <w:instrText xml:space="preserve"> HYPERLINK \l _Toc29114 </w:instrText>
      </w:r>
      <w:r>
        <w:rPr>
          <w:rFonts w:hint="eastAsia" w:ascii="宋体" w:hAnsi="宋体" w:eastAsia="宋体" w:cs="宋体"/>
          <w:b w:val="0"/>
          <w:bCs w:val="0"/>
          <w:caps w:val="0"/>
          <w:sz w:val="28"/>
          <w:szCs w:val="28"/>
          <w:highlight w:val="none"/>
          <w:lang w:val="en-US" w:eastAsia="zh-CN"/>
        </w:rPr>
        <w:fldChar w:fldCharType="separate"/>
      </w:r>
      <w:r>
        <w:rPr>
          <w:rFonts w:hint="eastAsia" w:ascii="宋体" w:hAnsi="宋体" w:eastAsia="宋体" w:cs="宋体"/>
          <w:b w:val="0"/>
          <w:bCs w:val="0"/>
          <w:sz w:val="28"/>
          <w:szCs w:val="28"/>
          <w:highlight w:val="none"/>
        </w:rPr>
        <w:t>第</w:t>
      </w:r>
      <w:r>
        <w:rPr>
          <w:rFonts w:hint="eastAsia" w:ascii="宋体" w:hAnsi="宋体" w:eastAsia="宋体" w:cs="宋体"/>
          <w:b w:val="0"/>
          <w:bCs w:val="0"/>
          <w:sz w:val="28"/>
          <w:szCs w:val="28"/>
          <w:highlight w:val="none"/>
          <w:lang w:val="en-US" w:eastAsia="zh-CN"/>
        </w:rPr>
        <w:t>八</w:t>
      </w:r>
      <w:r>
        <w:rPr>
          <w:rFonts w:hint="eastAsia" w:ascii="宋体" w:hAnsi="宋体" w:eastAsia="宋体" w:cs="宋体"/>
          <w:b w:val="0"/>
          <w:bCs w:val="0"/>
          <w:sz w:val="28"/>
          <w:szCs w:val="28"/>
          <w:highlight w:val="none"/>
        </w:rPr>
        <w:t>章  招标单位、招标代理机构对本招标文件的确认</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PAGEREF _Toc29114 \h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75</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caps w:val="0"/>
          <w:color w:val="auto"/>
          <w:sz w:val="28"/>
          <w:szCs w:val="28"/>
          <w:highlight w:val="none"/>
          <w:lang w:val="en-US" w:eastAsia="zh-CN"/>
        </w:rPr>
        <w:fldChar w:fldCharType="end"/>
      </w:r>
    </w:p>
    <w:p>
      <w:pPr>
        <w:pStyle w:val="32"/>
        <w:tabs>
          <w:tab w:val="right" w:leader="dot" w:pos="9062"/>
        </w:tabs>
        <w:spacing w:line="700" w:lineRule="exact"/>
        <w:ind w:firstLine="560" w:firstLineChars="200"/>
        <w:rPr>
          <w:rFonts w:hint="default"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8"/>
          <w:szCs w:val="28"/>
          <w:highlight w:val="none"/>
          <w:lang w:val="en-US" w:eastAsia="zh-CN"/>
        </w:rPr>
        <w:fldChar w:fldCharType="end"/>
      </w:r>
    </w:p>
    <w:p>
      <w:pPr>
        <w:pStyle w:val="2"/>
        <w:spacing w:line="700" w:lineRule="exact"/>
        <w:ind w:left="0" w:leftChars="0" w:firstLine="480"/>
        <w:jc w:val="left"/>
        <w:rPr>
          <w:color w:val="auto"/>
          <w:sz w:val="24"/>
          <w:szCs w:val="24"/>
          <w:highlight w:val="none"/>
        </w:rPr>
      </w:pPr>
    </w:p>
    <w:p>
      <w:pPr>
        <w:pStyle w:val="43"/>
        <w:spacing w:line="700" w:lineRule="exact"/>
        <w:jc w:val="left"/>
        <w:rPr>
          <w:color w:val="auto"/>
          <w:sz w:val="24"/>
          <w:szCs w:val="24"/>
          <w:highlight w:val="none"/>
        </w:rPr>
        <w:sectPr>
          <w:footerReference r:id="rId5" w:type="default"/>
          <w:pgSz w:w="11906" w:h="16838"/>
          <w:pgMar w:top="1134" w:right="1417" w:bottom="1134" w:left="1417" w:header="851" w:footer="992" w:gutter="0"/>
          <w:pgNumType w:fmt="decimal" w:start="1"/>
          <w:cols w:space="720" w:num="1"/>
          <w:docGrid w:type="lines" w:linePitch="312" w:charSpace="0"/>
        </w:sectPr>
      </w:pPr>
    </w:p>
    <w:bookmarkEnd w:id="16"/>
    <w:bookmarkEnd w:id="17"/>
    <w:bookmarkEnd w:id="18"/>
    <w:bookmarkEnd w:id="19"/>
    <w:p>
      <w:pPr>
        <w:pStyle w:val="43"/>
        <w:keepNext w:val="0"/>
        <w:keepLines w:val="0"/>
        <w:pageBreakBefore w:val="0"/>
        <w:widowControl w:val="0"/>
        <w:kinsoku/>
        <w:wordWrap/>
        <w:overflowPunct/>
        <w:topLinePunct w:val="0"/>
        <w:autoSpaceDE/>
        <w:autoSpaceDN/>
        <w:bidi w:val="0"/>
        <w:adjustRightInd w:val="0"/>
        <w:snapToGrid/>
        <w:spacing w:beforeLines="50" w:afterLines="50" w:line="400" w:lineRule="exact"/>
        <w:textAlignment w:val="baseline"/>
        <w:rPr>
          <w:bCs/>
          <w:color w:val="auto"/>
          <w:szCs w:val="32"/>
          <w:highlight w:val="none"/>
        </w:rPr>
      </w:pPr>
      <w:bookmarkStart w:id="20" w:name="_Toc78803320"/>
      <w:bookmarkStart w:id="21" w:name="_Toc21980"/>
      <w:bookmarkStart w:id="22" w:name="_Toc12261"/>
      <w:bookmarkStart w:id="23" w:name="_Toc35425050"/>
      <w:bookmarkStart w:id="24" w:name="_Toc246996173"/>
      <w:bookmarkStart w:id="25" w:name="_Toc506107267"/>
      <w:bookmarkStart w:id="26" w:name="_Toc179632544"/>
      <w:bookmarkStart w:id="27" w:name="_Toc35424883"/>
      <w:bookmarkStart w:id="28" w:name="_Toc152045527"/>
      <w:bookmarkStart w:id="29" w:name="_Toc15058844"/>
      <w:bookmarkStart w:id="30" w:name="_Toc144974495"/>
      <w:bookmarkStart w:id="31" w:name="_Toc246996916"/>
      <w:bookmarkStart w:id="32" w:name="_Toc247085687"/>
      <w:bookmarkStart w:id="33" w:name="_Toc324404813"/>
      <w:bookmarkStart w:id="34" w:name="_Toc152042303"/>
      <w:r>
        <w:rPr>
          <w:rFonts w:hint="eastAsia"/>
          <w:bCs/>
          <w:color w:val="auto"/>
          <w:szCs w:val="32"/>
          <w:highlight w:val="none"/>
        </w:rPr>
        <w:t>滁州市建筑垃圾综合处置项目土方平整工程招标公告信息</w:t>
      </w:r>
      <w:bookmarkEnd w:id="20"/>
      <w:bookmarkEnd w:id="21"/>
      <w:bookmarkEnd w:id="22"/>
    </w:p>
    <w:tbl>
      <w:tblPr>
        <w:tblStyle w:val="46"/>
        <w:tblW w:w="9583"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fixed"/>
        <w:tblCellMar>
          <w:top w:w="0" w:type="dxa"/>
          <w:left w:w="108" w:type="dxa"/>
          <w:bottom w:w="0" w:type="dxa"/>
          <w:right w:w="108" w:type="dxa"/>
        </w:tblCellMar>
      </w:tblPr>
      <w:tblGrid>
        <w:gridCol w:w="1511"/>
        <w:gridCol w:w="50"/>
        <w:gridCol w:w="2481"/>
        <w:gridCol w:w="648"/>
        <w:gridCol w:w="2097"/>
        <w:gridCol w:w="279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67" w:hRule="atLeast"/>
          <w:jc w:val="center"/>
        </w:trPr>
        <w:tc>
          <w:tcPr>
            <w:tcW w:w="15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300" w:lineRule="exact"/>
              <w:ind w:left="0" w:right="0"/>
              <w:jc w:val="both"/>
              <w:rPr>
                <w:rFonts w:hint="eastAsia" w:ascii="宋体" w:hAnsi="宋体" w:eastAsia="宋体" w:cs="宋体"/>
                <w:bCs/>
                <w:kern w:val="1"/>
                <w:sz w:val="21"/>
                <w:szCs w:val="21"/>
                <w:highlight w:val="none"/>
              </w:rPr>
            </w:pPr>
            <w:bookmarkStart w:id="35" w:name="_Toc78803321"/>
            <w:r>
              <w:rPr>
                <w:rFonts w:hint="eastAsia" w:ascii="宋体" w:hAnsi="宋体" w:eastAsia="宋体" w:cs="宋体"/>
                <w:bCs/>
                <w:kern w:val="1"/>
                <w:sz w:val="21"/>
                <w:szCs w:val="21"/>
                <w:highlight w:val="none"/>
                <w:lang w:val="en-US" w:eastAsia="zh-CN" w:bidi="ar"/>
              </w:rPr>
              <w:t>招标项目名称</w:t>
            </w:r>
          </w:p>
        </w:tc>
        <w:tc>
          <w:tcPr>
            <w:tcW w:w="8022"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300" w:lineRule="exact"/>
              <w:ind w:left="0" w:right="0"/>
              <w:jc w:val="both"/>
              <w:rPr>
                <w:rFonts w:hint="eastAsia" w:ascii="宋体" w:hAnsi="宋体" w:eastAsia="宋体" w:cs="宋体"/>
                <w:bCs/>
                <w:kern w:val="1"/>
                <w:sz w:val="21"/>
                <w:szCs w:val="21"/>
                <w:highlight w:val="none"/>
                <w:lang w:eastAsia="zh-CN"/>
              </w:rPr>
            </w:pPr>
            <w:r>
              <w:rPr>
                <w:rFonts w:hint="eastAsia" w:ascii="宋体" w:hAnsi="宋体" w:eastAsia="宋体" w:cs="宋体"/>
                <w:bCs/>
                <w:kern w:val="1"/>
                <w:sz w:val="21"/>
                <w:szCs w:val="21"/>
                <w:highlight w:val="none"/>
                <w:lang w:eastAsia="zh-CN"/>
              </w:rPr>
              <w:t>滁州市建筑垃圾综合处置项目土方平整工程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67" w:hRule="atLeast"/>
          <w:jc w:val="center"/>
        </w:trPr>
        <w:tc>
          <w:tcPr>
            <w:tcW w:w="15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300" w:lineRule="exact"/>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招标方式</w:t>
            </w:r>
          </w:p>
        </w:tc>
        <w:tc>
          <w:tcPr>
            <w:tcW w:w="8022"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300" w:lineRule="exact"/>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公开招标</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90" w:hRule="atLeast"/>
          <w:jc w:val="center"/>
        </w:trPr>
        <w:tc>
          <w:tcPr>
            <w:tcW w:w="15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30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投标资质要求</w:t>
            </w:r>
          </w:p>
        </w:tc>
        <w:tc>
          <w:tcPr>
            <w:tcW w:w="8022"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val="en-US" w:eastAsia="zh-CN" w:bidi="ar"/>
              </w:rPr>
              <w:t>1</w:t>
            </w:r>
            <w:r>
              <w:rPr>
                <w:rFonts w:hint="eastAsia" w:ascii="宋体" w:hAnsi="宋体" w:cs="宋体"/>
                <w:bCs/>
                <w:color w:val="auto"/>
                <w:kern w:val="0"/>
                <w:sz w:val="21"/>
                <w:szCs w:val="21"/>
                <w:highlight w:val="none"/>
                <w:lang w:val="en-US" w:eastAsia="zh-CN" w:bidi="ar"/>
              </w:rPr>
              <w:t>.</w:t>
            </w:r>
            <w:r>
              <w:rPr>
                <w:rFonts w:hint="eastAsia" w:ascii="宋体" w:hAnsi="宋体" w:eastAsia="宋体" w:cs="宋体"/>
                <w:bCs/>
                <w:color w:val="auto"/>
                <w:kern w:val="0"/>
                <w:sz w:val="21"/>
                <w:szCs w:val="21"/>
                <w:highlight w:val="none"/>
                <w:lang w:val="en-US" w:eastAsia="zh-CN" w:bidi="ar"/>
              </w:rPr>
              <w:t>投标人要求：须具备建筑工程施工总承包</w:t>
            </w:r>
            <w:r>
              <w:rPr>
                <w:rFonts w:hint="eastAsia" w:ascii="宋体" w:hAnsi="宋体" w:cs="宋体"/>
                <w:bCs/>
                <w:color w:val="auto"/>
                <w:kern w:val="0"/>
                <w:sz w:val="21"/>
                <w:szCs w:val="21"/>
                <w:highlight w:val="none"/>
                <w:lang w:val="en-US" w:eastAsia="zh-CN" w:bidi="ar"/>
              </w:rPr>
              <w:t>或市政公用工程施工总承包</w:t>
            </w:r>
            <w:r>
              <w:rPr>
                <w:rFonts w:hint="eastAsia" w:ascii="宋体" w:hAnsi="宋体" w:eastAsia="宋体" w:cs="宋体"/>
                <w:bCs/>
                <w:color w:val="auto"/>
                <w:kern w:val="0"/>
                <w:sz w:val="21"/>
                <w:szCs w:val="21"/>
                <w:highlight w:val="none"/>
                <w:lang w:val="en-US" w:eastAsia="zh-CN" w:bidi="ar"/>
              </w:rPr>
              <w:t>三级（或以上）资质；</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lang w:val="en-US" w:eastAsia="zh-CN" w:bidi="ar"/>
              </w:rPr>
            </w:pPr>
            <w:r>
              <w:rPr>
                <w:rFonts w:hint="eastAsia" w:ascii="宋体" w:hAnsi="宋体" w:eastAsia="宋体" w:cs="宋体"/>
                <w:bCs/>
                <w:color w:val="auto"/>
                <w:kern w:val="0"/>
                <w:sz w:val="21"/>
                <w:szCs w:val="21"/>
                <w:highlight w:val="none"/>
                <w:lang w:val="en-US" w:eastAsia="zh-CN" w:bidi="ar"/>
              </w:rPr>
              <w:t>2.项目经理（建造师）要求：具有注册在投标单位的建筑工程</w:t>
            </w:r>
            <w:r>
              <w:rPr>
                <w:rFonts w:hint="eastAsia" w:ascii="宋体" w:hAnsi="宋体" w:cs="宋体"/>
                <w:bCs/>
                <w:color w:val="auto"/>
                <w:kern w:val="0"/>
                <w:sz w:val="21"/>
                <w:szCs w:val="21"/>
                <w:highlight w:val="none"/>
                <w:lang w:val="en-US" w:eastAsia="zh-CN" w:bidi="ar"/>
              </w:rPr>
              <w:t>或市政公用工程</w:t>
            </w:r>
            <w:r>
              <w:rPr>
                <w:rFonts w:hint="eastAsia" w:ascii="宋体" w:hAnsi="宋体" w:eastAsia="宋体" w:cs="宋体"/>
                <w:bCs/>
                <w:color w:val="auto"/>
                <w:kern w:val="0"/>
                <w:sz w:val="21"/>
                <w:szCs w:val="21"/>
                <w:highlight w:val="none"/>
                <w:lang w:val="en-US" w:eastAsia="zh-CN" w:bidi="ar"/>
              </w:rPr>
              <w:t>专业二级（或以上）注册建造师资格，且具备有效的安全生产考核合格(B类)证书。</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lang w:val="en-US" w:eastAsia="zh-CN" w:bidi="ar"/>
              </w:rPr>
            </w:pPr>
            <w:r>
              <w:rPr>
                <w:rFonts w:hint="eastAsia" w:ascii="宋体" w:hAnsi="宋体" w:eastAsia="宋体" w:cs="宋体"/>
                <w:bCs/>
                <w:color w:val="auto"/>
                <w:kern w:val="0"/>
                <w:sz w:val="21"/>
                <w:szCs w:val="21"/>
                <w:highlight w:val="none"/>
                <w:lang w:val="en-US" w:eastAsia="zh-CN" w:bidi="ar"/>
              </w:rPr>
              <w:t>3.投标人存在以下情形之一的，不得被确定为中标人：</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lang w:val="en-US" w:eastAsia="zh-CN" w:bidi="ar"/>
              </w:rPr>
            </w:pPr>
            <w:r>
              <w:rPr>
                <w:rFonts w:hint="eastAsia" w:ascii="宋体" w:hAnsi="宋体" w:eastAsia="宋体" w:cs="宋体"/>
                <w:bCs/>
                <w:color w:val="auto"/>
                <w:kern w:val="0"/>
                <w:sz w:val="21"/>
                <w:szCs w:val="21"/>
                <w:highlight w:val="none"/>
                <w:lang w:val="en-US" w:eastAsia="zh-CN" w:bidi="ar"/>
              </w:rPr>
              <w:t>①投标人被人民法院列入失信被执行人的；</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lang w:val="en-US" w:eastAsia="zh-CN" w:bidi="ar"/>
              </w:rPr>
            </w:pPr>
            <w:r>
              <w:rPr>
                <w:rFonts w:hint="eastAsia" w:ascii="宋体" w:hAnsi="宋体" w:eastAsia="宋体" w:cs="宋体"/>
                <w:bCs/>
                <w:color w:val="auto"/>
                <w:kern w:val="0"/>
                <w:sz w:val="21"/>
                <w:szCs w:val="21"/>
                <w:highlight w:val="none"/>
                <w:lang w:val="en-US" w:eastAsia="zh-CN" w:bidi="ar"/>
              </w:rPr>
              <w:t>②投标人或其法定代表人或拟派项目经理（建造师）前三年有行贿犯罪行为的；</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lang w:val="en-US" w:eastAsia="zh-CN" w:bidi="ar"/>
              </w:rPr>
            </w:pPr>
            <w:r>
              <w:rPr>
                <w:rFonts w:hint="eastAsia" w:ascii="宋体" w:hAnsi="宋体" w:eastAsia="宋体" w:cs="宋体"/>
                <w:bCs/>
                <w:color w:val="auto"/>
                <w:kern w:val="0"/>
                <w:sz w:val="21"/>
                <w:szCs w:val="21"/>
                <w:highlight w:val="none"/>
                <w:lang w:val="en-US" w:eastAsia="zh-CN" w:bidi="ar"/>
              </w:rPr>
              <w:t>③投标人被市场监督管理部门列入经营异常名录或者严重违法企业名单，且未被移除的；</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lang w:val="en-US" w:eastAsia="zh-CN" w:bidi="ar"/>
              </w:rPr>
            </w:pPr>
            <w:r>
              <w:rPr>
                <w:rFonts w:hint="eastAsia" w:ascii="宋体" w:hAnsi="宋体" w:eastAsia="宋体" w:cs="宋体"/>
                <w:bCs/>
                <w:color w:val="auto"/>
                <w:kern w:val="0"/>
                <w:sz w:val="21"/>
                <w:szCs w:val="21"/>
                <w:highlight w:val="none"/>
                <w:lang w:val="en-US" w:eastAsia="zh-CN" w:bidi="ar"/>
              </w:rPr>
              <w:t>④投标人被税务部门列入重大税收违法案件当事人的；</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lang w:val="en-US" w:eastAsia="zh-CN" w:bidi="ar"/>
              </w:rPr>
            </w:pPr>
            <w:r>
              <w:rPr>
                <w:rFonts w:hint="eastAsia" w:ascii="宋体" w:hAnsi="宋体" w:eastAsia="宋体" w:cs="宋体"/>
                <w:bCs/>
                <w:color w:val="auto"/>
                <w:kern w:val="0"/>
                <w:sz w:val="21"/>
                <w:szCs w:val="21"/>
                <w:highlight w:val="none"/>
                <w:lang w:val="en-US" w:eastAsia="zh-CN" w:bidi="ar"/>
              </w:rPr>
              <w:t>⑤在“信用中国”网站上披露仍在公示期的严重失信行为的；</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lang w:val="en-US" w:eastAsia="zh-CN" w:bidi="ar"/>
              </w:rPr>
            </w:pPr>
            <w:r>
              <w:rPr>
                <w:rFonts w:hint="eastAsia" w:ascii="宋体" w:hAnsi="宋体" w:eastAsia="宋体" w:cs="宋体"/>
                <w:bCs/>
                <w:color w:val="auto"/>
                <w:kern w:val="0"/>
                <w:sz w:val="21"/>
                <w:szCs w:val="21"/>
                <w:highlight w:val="none"/>
                <w:lang w:val="en-US" w:eastAsia="zh-CN" w:bidi="ar"/>
              </w:rPr>
              <w:t>⑥被滁州市县两级各行业主管部门及公管部门取消在一定期限内的投标资格且在取消期限内的；</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lang w:val="en-US" w:eastAsia="zh-CN" w:bidi="ar"/>
              </w:rPr>
            </w:pPr>
            <w:r>
              <w:rPr>
                <w:rFonts w:hint="eastAsia" w:ascii="宋体" w:hAnsi="宋体" w:eastAsia="宋体" w:cs="宋体"/>
                <w:bCs/>
                <w:color w:val="auto"/>
                <w:kern w:val="0"/>
                <w:sz w:val="21"/>
                <w:szCs w:val="21"/>
                <w:highlight w:val="none"/>
                <w:lang w:val="en-US" w:eastAsia="zh-CN" w:bidi="ar"/>
              </w:rPr>
              <w:t>⑦被人力资源社会保障主管部门列入拖欠农民工工资‘黑名单’或因拖欠农民工工资被县级及以上有关行政主管部门限制投标资格且在限制期限内的；</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lang w:val="en-US" w:eastAsia="zh-CN" w:bidi="ar"/>
              </w:rPr>
            </w:pPr>
            <w:r>
              <w:rPr>
                <w:rFonts w:hint="eastAsia" w:ascii="宋体" w:hAnsi="宋体" w:eastAsia="宋体" w:cs="宋体"/>
                <w:bCs/>
                <w:color w:val="auto"/>
                <w:kern w:val="0"/>
                <w:sz w:val="21"/>
                <w:szCs w:val="21"/>
                <w:highlight w:val="none"/>
                <w:lang w:val="en-US" w:eastAsia="zh-CN" w:bidi="ar"/>
              </w:rPr>
              <w:t>⑧被列入省级、市级农民工工资支付异常名录的施工企业，限制其参加全市范围内房建和市政工程建设项目投标；列入县级异常名录的施工企业，限制其参加本行政区域内房建和市政建设项目投标。</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lang w:val="en-US" w:eastAsia="zh-CN" w:bidi="ar"/>
              </w:rPr>
            </w:pPr>
            <w:r>
              <w:rPr>
                <w:rFonts w:hint="eastAsia" w:ascii="宋体" w:hAnsi="宋体" w:eastAsia="宋体" w:cs="宋体"/>
                <w:bCs/>
                <w:color w:val="auto"/>
                <w:kern w:val="0"/>
                <w:sz w:val="21"/>
                <w:szCs w:val="21"/>
                <w:highlight w:val="none"/>
                <w:lang w:val="en-US" w:eastAsia="zh-CN" w:bidi="ar"/>
              </w:rPr>
              <w:t>4.投标人所属分公司、办事处等分支机构存在第3条信誉要求①-⑧项情形之一的，接受其被确定为中标人。</w:t>
            </w:r>
          </w:p>
          <w:p>
            <w:pPr>
              <w:keepNext w:val="0"/>
              <w:keepLines w:val="0"/>
              <w:widowControl/>
              <w:suppressLineNumbers w:val="0"/>
              <w:autoSpaceDE w:val="0"/>
              <w:autoSpaceDN/>
              <w:spacing w:before="0" w:beforeAutospacing="0" w:after="0" w:afterAutospacing="0" w:line="440" w:lineRule="exact"/>
              <w:ind w:left="0" w:right="0"/>
              <w:jc w:val="left"/>
              <w:rPr>
                <w:rFonts w:hint="default"/>
                <w:color w:val="auto"/>
                <w:lang w:val="en-US"/>
              </w:rPr>
            </w:pPr>
            <w:r>
              <w:rPr>
                <w:rFonts w:hint="eastAsia" w:ascii="宋体" w:hAnsi="宋体" w:eastAsia="宋体" w:cs="宋体"/>
                <w:bCs/>
                <w:color w:val="auto"/>
                <w:kern w:val="0"/>
                <w:sz w:val="21"/>
                <w:szCs w:val="21"/>
                <w:highlight w:val="none"/>
                <w:lang w:val="en-US" w:eastAsia="zh-CN" w:bidi="ar"/>
              </w:rPr>
              <w:t>备注：第3、4条按照附件1“关于联合惩戒失信行为加强信用查询管理的通知”查询或承诺。</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404" w:hRule="atLeast"/>
          <w:jc w:val="center"/>
        </w:trPr>
        <w:tc>
          <w:tcPr>
            <w:tcW w:w="15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300" w:lineRule="exact"/>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是否接受联合体投标</w:t>
            </w:r>
          </w:p>
        </w:tc>
        <w:tc>
          <w:tcPr>
            <w:tcW w:w="8022"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不接受</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730" w:hRule="atLeast"/>
          <w:jc w:val="center"/>
        </w:trPr>
        <w:tc>
          <w:tcPr>
            <w:tcW w:w="15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30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招标项目内容范围</w:t>
            </w:r>
          </w:p>
        </w:tc>
        <w:tc>
          <w:tcPr>
            <w:tcW w:w="8022"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招标人提供的全套设计施工</w:t>
            </w:r>
            <w:r>
              <w:rPr>
                <w:rFonts w:hint="eastAsia" w:ascii="宋体" w:hAnsi="宋体" w:cs="宋体"/>
                <w:color w:val="auto"/>
                <w:kern w:val="0"/>
                <w:sz w:val="21"/>
                <w:szCs w:val="21"/>
                <w:highlight w:val="none"/>
                <w:lang w:val="en-US" w:eastAsia="zh-CN" w:bidi="ar"/>
              </w:rPr>
              <w:t>方案和工程量清单</w:t>
            </w:r>
            <w:r>
              <w:rPr>
                <w:rFonts w:hint="eastAsia" w:ascii="宋体" w:hAnsi="宋体" w:eastAsia="宋体" w:cs="宋体"/>
                <w:color w:val="auto"/>
                <w:kern w:val="0"/>
                <w:sz w:val="21"/>
                <w:szCs w:val="21"/>
                <w:highlight w:val="none"/>
                <w:lang w:val="en-US" w:eastAsia="zh-CN" w:bidi="ar"/>
              </w:rPr>
              <w:t>中的全部内容</w:t>
            </w:r>
            <w:r>
              <w:rPr>
                <w:rFonts w:hint="eastAsia" w:ascii="宋体" w:hAnsi="宋体" w:cs="宋体"/>
                <w:color w:val="auto"/>
                <w:kern w:val="0"/>
                <w:sz w:val="21"/>
                <w:szCs w:val="21"/>
                <w:highlight w:val="none"/>
                <w:lang w:val="en-US" w:eastAsia="zh-CN" w:bidi="ar"/>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65" w:hRule="atLeast"/>
          <w:jc w:val="center"/>
        </w:trPr>
        <w:tc>
          <w:tcPr>
            <w:tcW w:w="15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300" w:lineRule="exact"/>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招标公告发布时间</w:t>
            </w:r>
          </w:p>
        </w:tc>
        <w:tc>
          <w:tcPr>
            <w:tcW w:w="8022"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lang w:val="en-US" w:eastAsia="zh-CN" w:bidi="ar"/>
              </w:rPr>
              <w:t>2024年</w:t>
            </w:r>
            <w:r>
              <w:rPr>
                <w:rFonts w:hint="eastAsia" w:ascii="宋体" w:hAnsi="宋体" w:cs="宋体"/>
                <w:b/>
                <w:bCs/>
                <w:kern w:val="0"/>
                <w:sz w:val="21"/>
                <w:szCs w:val="21"/>
                <w:highlight w:val="none"/>
                <w:lang w:val="en-US" w:eastAsia="zh-CN" w:bidi="ar"/>
              </w:rPr>
              <w:t>9</w:t>
            </w:r>
            <w:r>
              <w:rPr>
                <w:rFonts w:hint="eastAsia" w:ascii="宋体" w:hAnsi="宋体" w:eastAsia="宋体" w:cs="宋体"/>
                <w:b/>
                <w:bCs/>
                <w:kern w:val="0"/>
                <w:sz w:val="21"/>
                <w:szCs w:val="21"/>
                <w:highlight w:val="none"/>
                <w:lang w:val="en-US" w:eastAsia="zh-CN" w:bidi="ar"/>
              </w:rPr>
              <w:t>月</w:t>
            </w:r>
            <w:r>
              <w:rPr>
                <w:rFonts w:hint="eastAsia" w:ascii="宋体" w:hAnsi="宋体" w:cs="宋体"/>
                <w:b/>
                <w:bCs/>
                <w:kern w:val="0"/>
                <w:sz w:val="21"/>
                <w:szCs w:val="21"/>
                <w:highlight w:val="none"/>
                <w:lang w:val="en-US" w:eastAsia="zh-CN" w:bidi="ar"/>
              </w:rPr>
              <w:t>6</w:t>
            </w:r>
            <w:r>
              <w:rPr>
                <w:rFonts w:hint="eastAsia" w:ascii="宋体" w:hAnsi="宋体" w:eastAsia="宋体" w:cs="宋体"/>
                <w:b/>
                <w:bCs/>
                <w:kern w:val="0"/>
                <w:sz w:val="21"/>
                <w:szCs w:val="21"/>
                <w:highlight w:val="none"/>
                <w:lang w:val="en-US" w:eastAsia="zh-CN" w:bidi="ar"/>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820" w:hRule="atLeast"/>
          <w:jc w:val="center"/>
        </w:trPr>
        <w:tc>
          <w:tcPr>
            <w:tcW w:w="15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300" w:lineRule="exact"/>
              <w:ind w:left="0" w:right="0"/>
              <w:jc w:val="left"/>
              <w:rPr>
                <w:rFonts w:hint="eastAsia" w:ascii="宋体" w:hAnsi="宋体" w:eastAsia="宋体" w:cs="宋体"/>
                <w:kern w:val="0"/>
                <w:sz w:val="21"/>
                <w:szCs w:val="21"/>
                <w:highlight w:val="none"/>
              </w:rPr>
            </w:pPr>
            <w:r>
              <w:rPr>
                <w:rFonts w:hint="eastAsia" w:ascii="宋体" w:hAnsi="宋体" w:eastAsia="宋体" w:cs="宋体"/>
                <w:kern w:val="2"/>
                <w:sz w:val="21"/>
                <w:szCs w:val="21"/>
                <w:highlight w:val="none"/>
                <w:lang w:val="en-US" w:eastAsia="zh-CN" w:bidi="ar"/>
              </w:rPr>
              <w:t>递交投标文件的截止时间</w:t>
            </w:r>
          </w:p>
        </w:tc>
        <w:tc>
          <w:tcPr>
            <w:tcW w:w="8022"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lang w:val="en-US" w:eastAsia="zh-CN" w:bidi="ar"/>
              </w:rPr>
              <w:t>2024年</w:t>
            </w:r>
            <w:r>
              <w:rPr>
                <w:rFonts w:hint="eastAsia" w:ascii="宋体" w:hAnsi="宋体" w:cs="宋体"/>
                <w:b/>
                <w:bCs/>
                <w:kern w:val="0"/>
                <w:sz w:val="21"/>
                <w:szCs w:val="21"/>
                <w:highlight w:val="none"/>
                <w:lang w:val="en-US" w:eastAsia="zh-CN" w:bidi="ar"/>
              </w:rPr>
              <w:t>9</w:t>
            </w:r>
            <w:r>
              <w:rPr>
                <w:rFonts w:hint="eastAsia" w:ascii="宋体" w:hAnsi="宋体" w:eastAsia="宋体" w:cs="宋体"/>
                <w:b/>
                <w:bCs/>
                <w:kern w:val="0"/>
                <w:sz w:val="21"/>
                <w:szCs w:val="21"/>
                <w:highlight w:val="none"/>
                <w:lang w:val="en-US" w:eastAsia="zh-CN" w:bidi="ar"/>
              </w:rPr>
              <w:t>月</w:t>
            </w:r>
            <w:r>
              <w:rPr>
                <w:rFonts w:hint="eastAsia" w:ascii="宋体" w:hAnsi="宋体" w:cs="宋体"/>
                <w:b/>
                <w:bCs/>
                <w:kern w:val="0"/>
                <w:sz w:val="21"/>
                <w:szCs w:val="21"/>
                <w:highlight w:val="none"/>
                <w:lang w:val="en-US" w:eastAsia="zh-CN" w:bidi="ar"/>
              </w:rPr>
              <w:t>11</w:t>
            </w:r>
            <w:r>
              <w:rPr>
                <w:rFonts w:hint="eastAsia" w:ascii="宋体" w:hAnsi="宋体" w:eastAsia="宋体" w:cs="宋体"/>
                <w:b/>
                <w:bCs/>
                <w:kern w:val="0"/>
                <w:sz w:val="21"/>
                <w:szCs w:val="21"/>
                <w:highlight w:val="none"/>
                <w:lang w:val="en-US" w:eastAsia="zh-CN" w:bidi="ar"/>
              </w:rPr>
              <w:t>日</w:t>
            </w:r>
            <w:r>
              <w:rPr>
                <w:rFonts w:hint="eastAsia" w:ascii="宋体" w:hAnsi="宋体" w:cs="宋体"/>
                <w:b/>
                <w:bCs/>
                <w:kern w:val="0"/>
                <w:sz w:val="21"/>
                <w:szCs w:val="21"/>
                <w:highlight w:val="none"/>
                <w:lang w:val="en-US" w:eastAsia="zh-CN" w:bidi="ar"/>
              </w:rPr>
              <w:t>9</w:t>
            </w:r>
            <w:r>
              <w:rPr>
                <w:rFonts w:hint="eastAsia" w:ascii="宋体" w:hAnsi="宋体" w:eastAsia="宋体" w:cs="宋体"/>
                <w:b/>
                <w:bCs/>
                <w:kern w:val="0"/>
                <w:sz w:val="21"/>
                <w:szCs w:val="21"/>
                <w:highlight w:val="none"/>
                <w:lang w:val="en-US" w:eastAsia="zh-CN" w:bidi="ar"/>
              </w:rPr>
              <w:t>时(北京时间)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820" w:hRule="atLeast"/>
          <w:jc w:val="center"/>
        </w:trPr>
        <w:tc>
          <w:tcPr>
            <w:tcW w:w="15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300" w:lineRule="exact"/>
              <w:ind w:left="0" w:right="0"/>
              <w:jc w:val="left"/>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投标文件递交的方式</w:t>
            </w:r>
          </w:p>
        </w:tc>
        <w:tc>
          <w:tcPr>
            <w:tcW w:w="8022"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网上递交，发送至电子邮箱：czsctgczx@163.com（滁州市城投工程咨询管理有限公司邮箱）</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410" w:hRule="atLeast"/>
          <w:jc w:val="center"/>
        </w:trPr>
        <w:tc>
          <w:tcPr>
            <w:tcW w:w="15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30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开标时间</w:t>
            </w:r>
          </w:p>
        </w:tc>
        <w:tc>
          <w:tcPr>
            <w:tcW w:w="8022"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bidi="ar"/>
              </w:rPr>
              <w:t>2024年</w:t>
            </w:r>
            <w:r>
              <w:rPr>
                <w:rFonts w:hint="eastAsia" w:ascii="宋体" w:hAnsi="宋体" w:cs="宋体"/>
                <w:b/>
                <w:bCs/>
                <w:color w:val="auto"/>
                <w:kern w:val="0"/>
                <w:sz w:val="21"/>
                <w:szCs w:val="21"/>
                <w:highlight w:val="none"/>
                <w:lang w:val="en-US" w:eastAsia="zh-CN" w:bidi="ar"/>
              </w:rPr>
              <w:t>9</w:t>
            </w:r>
            <w:r>
              <w:rPr>
                <w:rFonts w:hint="eastAsia" w:ascii="宋体" w:hAnsi="宋体" w:eastAsia="宋体" w:cs="宋体"/>
                <w:b/>
                <w:bCs/>
                <w:color w:val="auto"/>
                <w:kern w:val="0"/>
                <w:sz w:val="21"/>
                <w:szCs w:val="21"/>
                <w:highlight w:val="none"/>
                <w:lang w:val="en-US" w:eastAsia="zh-CN" w:bidi="ar"/>
              </w:rPr>
              <w:t>月</w:t>
            </w:r>
            <w:r>
              <w:rPr>
                <w:rFonts w:hint="eastAsia" w:ascii="宋体" w:hAnsi="宋体" w:cs="宋体"/>
                <w:b/>
                <w:bCs/>
                <w:color w:val="auto"/>
                <w:kern w:val="0"/>
                <w:sz w:val="21"/>
                <w:szCs w:val="21"/>
                <w:highlight w:val="none"/>
                <w:lang w:val="en-US" w:eastAsia="zh-CN" w:bidi="ar"/>
              </w:rPr>
              <w:t>11</w:t>
            </w:r>
            <w:r>
              <w:rPr>
                <w:rFonts w:hint="eastAsia" w:ascii="宋体" w:hAnsi="宋体" w:eastAsia="宋体" w:cs="宋体"/>
                <w:b/>
                <w:bCs/>
                <w:color w:val="auto"/>
                <w:kern w:val="0"/>
                <w:sz w:val="21"/>
                <w:szCs w:val="21"/>
                <w:highlight w:val="none"/>
                <w:lang w:val="en-US" w:eastAsia="zh-CN" w:bidi="ar"/>
              </w:rPr>
              <w:t>日</w:t>
            </w:r>
            <w:r>
              <w:rPr>
                <w:rFonts w:hint="eastAsia" w:ascii="宋体" w:hAnsi="宋体" w:cs="宋体"/>
                <w:b/>
                <w:bCs/>
                <w:color w:val="auto"/>
                <w:kern w:val="0"/>
                <w:sz w:val="21"/>
                <w:szCs w:val="21"/>
                <w:highlight w:val="none"/>
                <w:lang w:val="en-US" w:eastAsia="zh-CN" w:bidi="ar"/>
              </w:rPr>
              <w:t>9</w:t>
            </w:r>
            <w:r>
              <w:rPr>
                <w:rFonts w:hint="eastAsia" w:ascii="宋体" w:hAnsi="宋体" w:eastAsia="宋体" w:cs="宋体"/>
                <w:b/>
                <w:bCs/>
                <w:color w:val="auto"/>
                <w:kern w:val="0"/>
                <w:sz w:val="21"/>
                <w:szCs w:val="21"/>
                <w:highlight w:val="none"/>
                <w:lang w:val="en-US" w:eastAsia="zh-CN" w:bidi="ar"/>
              </w:rPr>
              <w:t>时(北京时间)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15" w:hRule="atLeast"/>
          <w:jc w:val="center"/>
        </w:trPr>
        <w:tc>
          <w:tcPr>
            <w:tcW w:w="15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30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开标地点</w:t>
            </w:r>
          </w:p>
        </w:tc>
        <w:tc>
          <w:tcPr>
            <w:tcW w:w="8022"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滁州市龙蟠大道109号房产商务大厦6楼622会议室</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60" w:hRule="atLeast"/>
          <w:jc w:val="center"/>
        </w:trPr>
        <w:tc>
          <w:tcPr>
            <w:tcW w:w="156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300" w:lineRule="exact"/>
              <w:ind w:left="0" w:right="0"/>
              <w:jc w:val="left"/>
              <w:rPr>
                <w:rFonts w:hint="eastAsia" w:ascii="宋体" w:hAnsi="宋体" w:eastAsia="宋体" w:cs="宋体"/>
                <w:kern w:val="0"/>
                <w:sz w:val="21"/>
                <w:szCs w:val="21"/>
                <w:highlight w:val="none"/>
              </w:rPr>
            </w:pPr>
            <w:r>
              <w:rPr>
                <w:rFonts w:hint="eastAsia" w:ascii="宋体" w:hAnsi="宋体" w:eastAsia="宋体" w:cs="宋体"/>
                <w:kern w:val="2"/>
                <w:sz w:val="21"/>
                <w:szCs w:val="21"/>
                <w:highlight w:val="none"/>
                <w:lang w:val="en-US" w:eastAsia="zh-CN" w:bidi="ar"/>
              </w:rPr>
              <w:t>招标文件售价</w:t>
            </w:r>
          </w:p>
        </w:tc>
        <w:tc>
          <w:tcPr>
            <w:tcW w:w="8022"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0元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85" w:hRule="atLeast"/>
          <w:jc w:val="center"/>
        </w:trPr>
        <w:tc>
          <w:tcPr>
            <w:tcW w:w="9583" w:type="dxa"/>
            <w:gridSpan w:val="6"/>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3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信  息  内  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72" w:hRule="atLeast"/>
          <w:jc w:val="center"/>
        </w:trPr>
        <w:tc>
          <w:tcPr>
            <w:tcW w:w="1511"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工程概况</w:t>
            </w:r>
          </w:p>
        </w:tc>
        <w:tc>
          <w:tcPr>
            <w:tcW w:w="8072" w:type="dxa"/>
            <w:gridSpan w:val="5"/>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滁州市建筑垃圾综合处置项目位于沙河镇沙黄工业园东北侧，秋桐路北侧，安徽鑫谷汽车零部件厂区东侧。项目占地面积约60亩，周长约800米，内有沟渠、田地。本次招标主要工作内容包括场地内地表附属物清除、沟塘清淤及回填、土方回填平整场地至要求标高</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lang w:val="en-US" w:eastAsia="zh-CN"/>
              </w:rPr>
              <w:t>施工围挡</w:t>
            </w:r>
            <w:r>
              <w:rPr>
                <w:rFonts w:hint="eastAsia" w:ascii="宋体" w:hAnsi="宋体" w:eastAsia="宋体" w:cs="宋体"/>
                <w:color w:val="auto"/>
                <w:kern w:val="0"/>
                <w:sz w:val="21"/>
                <w:szCs w:val="21"/>
                <w:highlight w:val="none"/>
              </w:rPr>
              <w:t>等。</w:t>
            </w:r>
            <w:r>
              <w:rPr>
                <w:rFonts w:hint="eastAsia" w:ascii="宋体" w:hAnsi="宋体" w:cs="宋体"/>
                <w:color w:val="auto"/>
                <w:kern w:val="0"/>
                <w:sz w:val="21"/>
                <w:szCs w:val="21"/>
                <w:highlight w:val="none"/>
                <w:lang w:val="en-US" w:eastAsia="zh-CN"/>
              </w:rPr>
              <w:t>其中，围挡费用已考虑在安全文明施工费中，投标人投标报价时应综合考虑。</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bCs/>
                <w:color w:val="auto"/>
                <w:kern w:val="0"/>
                <w:sz w:val="21"/>
                <w:szCs w:val="21"/>
                <w:highlight w:val="none"/>
              </w:rPr>
            </w:pPr>
            <w:r>
              <w:rPr>
                <w:rFonts w:hint="eastAsia" w:ascii="宋体" w:hAnsi="宋体" w:eastAsia="宋体" w:cs="宋体"/>
                <w:color w:val="auto"/>
                <w:kern w:val="0"/>
                <w:sz w:val="21"/>
                <w:szCs w:val="21"/>
                <w:highlight w:val="none"/>
              </w:rPr>
              <w:t>经估算清表约12181方，回填约107623方</w:t>
            </w:r>
            <w:r>
              <w:rPr>
                <w:rFonts w:hint="eastAsia" w:ascii="宋体" w:hAnsi="宋体" w:cs="宋体"/>
                <w:color w:val="auto"/>
                <w:kern w:val="0"/>
                <w:sz w:val="21"/>
                <w:szCs w:val="21"/>
                <w:highlight w:val="none"/>
                <w:lang w:eastAsia="zh-CN"/>
              </w:rPr>
              <w:t>。项目清除的表土供场地后期绿化或集中堆放在二期项目用地</w:t>
            </w:r>
            <w:r>
              <w:rPr>
                <w:rFonts w:hint="eastAsia" w:ascii="宋体" w:hAnsi="宋体" w:eastAsia="宋体" w:cs="宋体"/>
                <w:color w:val="auto"/>
                <w:kern w:val="0"/>
                <w:sz w:val="21"/>
                <w:szCs w:val="21"/>
                <w:highlight w:val="none"/>
              </w:rPr>
              <w:t>。具体详见本工程量清单及设计施工图纸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67" w:hRule="atLeast"/>
          <w:jc w:val="center"/>
        </w:trPr>
        <w:tc>
          <w:tcPr>
            <w:tcW w:w="1511"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标段划分</w:t>
            </w:r>
          </w:p>
        </w:tc>
        <w:tc>
          <w:tcPr>
            <w:tcW w:w="8072" w:type="dxa"/>
            <w:gridSpan w:val="5"/>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一个标段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67" w:hRule="atLeast"/>
          <w:jc w:val="center"/>
        </w:trPr>
        <w:tc>
          <w:tcPr>
            <w:tcW w:w="1511"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评标办法</w:t>
            </w:r>
          </w:p>
        </w:tc>
        <w:tc>
          <w:tcPr>
            <w:tcW w:w="253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最低评标价法</w:t>
            </w:r>
          </w:p>
        </w:tc>
        <w:tc>
          <w:tcPr>
            <w:tcW w:w="2745"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lang w:val="en-US" w:eastAsia="zh-CN" w:bidi="ar"/>
              </w:rPr>
              <w:t>工程款支付方式</w:t>
            </w:r>
          </w:p>
        </w:tc>
        <w:tc>
          <w:tcPr>
            <w:tcW w:w="279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详见招标文件</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67" w:hRule="atLeast"/>
          <w:jc w:val="center"/>
        </w:trPr>
        <w:tc>
          <w:tcPr>
            <w:tcW w:w="1511"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工程概算</w:t>
            </w:r>
          </w:p>
        </w:tc>
        <w:tc>
          <w:tcPr>
            <w:tcW w:w="253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约</w:t>
            </w:r>
            <w:r>
              <w:rPr>
                <w:rFonts w:hint="eastAsia" w:ascii="宋体" w:hAnsi="宋体" w:cs="宋体"/>
                <w:color w:val="auto"/>
                <w:kern w:val="2"/>
                <w:sz w:val="21"/>
                <w:szCs w:val="21"/>
                <w:highlight w:val="none"/>
                <w:lang w:val="en-US" w:eastAsia="zh-CN" w:bidi="ar"/>
              </w:rPr>
              <w:t>387万</w:t>
            </w:r>
            <w:r>
              <w:rPr>
                <w:rFonts w:hint="eastAsia" w:ascii="宋体" w:hAnsi="宋体" w:eastAsia="宋体" w:cs="宋体"/>
                <w:color w:val="auto"/>
                <w:kern w:val="2"/>
                <w:sz w:val="21"/>
                <w:szCs w:val="21"/>
                <w:highlight w:val="none"/>
                <w:lang w:val="en-US" w:eastAsia="zh-CN" w:bidi="ar"/>
              </w:rPr>
              <w:t>元</w:t>
            </w:r>
          </w:p>
        </w:tc>
        <w:tc>
          <w:tcPr>
            <w:tcW w:w="2745"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计划工期</w:t>
            </w:r>
          </w:p>
        </w:tc>
        <w:tc>
          <w:tcPr>
            <w:tcW w:w="279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详见招标文件</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67" w:hRule="atLeast"/>
          <w:jc w:val="center"/>
        </w:trPr>
        <w:tc>
          <w:tcPr>
            <w:tcW w:w="1511"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资金来源</w:t>
            </w:r>
          </w:p>
        </w:tc>
        <w:tc>
          <w:tcPr>
            <w:tcW w:w="2531"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自筹资金</w:t>
            </w:r>
          </w:p>
        </w:tc>
        <w:tc>
          <w:tcPr>
            <w:tcW w:w="2745"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spacing w:val="-4"/>
                <w:kern w:val="0"/>
                <w:sz w:val="21"/>
                <w:szCs w:val="21"/>
                <w:highlight w:val="none"/>
              </w:rPr>
            </w:pPr>
            <w:r>
              <w:rPr>
                <w:rFonts w:hint="eastAsia" w:ascii="宋体" w:hAnsi="宋体" w:eastAsia="宋体" w:cs="宋体"/>
                <w:color w:val="auto"/>
                <w:kern w:val="2"/>
                <w:sz w:val="21"/>
                <w:szCs w:val="21"/>
                <w:highlight w:val="none"/>
                <w:lang w:val="en-US" w:eastAsia="zh-CN" w:bidi="ar"/>
              </w:rPr>
              <w:t>招标文件等获取方式</w:t>
            </w:r>
          </w:p>
        </w:tc>
        <w:tc>
          <w:tcPr>
            <w:tcW w:w="2796"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color w:val="auto"/>
                <w:spacing w:val="-4"/>
                <w:kern w:val="0"/>
                <w:sz w:val="21"/>
                <w:szCs w:val="21"/>
                <w:highlight w:val="none"/>
              </w:rPr>
            </w:pPr>
            <w:r>
              <w:rPr>
                <w:rFonts w:hint="eastAsia" w:ascii="宋体" w:hAnsi="宋体" w:eastAsia="宋体" w:cs="宋体"/>
                <w:color w:val="auto"/>
                <w:kern w:val="2"/>
                <w:sz w:val="21"/>
                <w:szCs w:val="21"/>
                <w:highlight w:val="none"/>
                <w:lang w:val="en-US" w:eastAsia="zh-CN" w:bidi="ar"/>
              </w:rPr>
              <w:t>网上下载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67" w:hRule="atLeast"/>
          <w:jc w:val="center"/>
        </w:trPr>
        <w:tc>
          <w:tcPr>
            <w:tcW w:w="9583" w:type="dxa"/>
            <w:gridSpan w:val="6"/>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是否要求提交投标保证金：要求</w:t>
            </w:r>
          </w:p>
          <w:p>
            <w:pPr>
              <w:keepNext w:val="0"/>
              <w:keepLines w:val="0"/>
              <w:widowControl/>
              <w:suppressLineNumbers w:val="0"/>
              <w:autoSpaceDE w:val="0"/>
              <w:autoSpaceDN/>
              <w:spacing w:before="0" w:beforeAutospacing="0" w:after="0" w:afterAutospacing="0" w:line="440" w:lineRule="exact"/>
              <w:ind w:left="0" w:right="0"/>
              <w:jc w:val="left"/>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投标保证金金额：</w:t>
            </w:r>
            <w:r>
              <w:rPr>
                <w:rFonts w:hint="eastAsia" w:ascii="宋体" w:hAnsi="宋体" w:cs="宋体"/>
                <w:color w:val="auto"/>
                <w:kern w:val="0"/>
                <w:sz w:val="21"/>
                <w:szCs w:val="21"/>
                <w:highlight w:val="none"/>
                <w:u w:val="single"/>
                <w:lang w:val="en-US" w:eastAsia="zh-CN"/>
              </w:rPr>
              <w:t>7</w:t>
            </w:r>
            <w:r>
              <w:rPr>
                <w:rFonts w:hint="eastAsia" w:ascii="宋体" w:hAnsi="宋体" w:eastAsia="宋体" w:cs="宋体"/>
                <w:color w:val="auto"/>
                <w:kern w:val="0"/>
                <w:sz w:val="21"/>
                <w:szCs w:val="21"/>
                <w:highlight w:val="none"/>
                <w:lang w:val="en-US" w:eastAsia="zh-CN"/>
              </w:rPr>
              <w:t>万元</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银行转账缴纳的投标保证金须投标截止时间前交纳完毕；投标保证金须从投标人基本账户转入下列账户，投标保证金付款人的账户名称必须与投标人名称一致，不接受汇票和结算卡汇入，以资金到账时间为确认保证金交纳完毕时间。</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户名：</w:t>
            </w:r>
            <w:r>
              <w:rPr>
                <w:rFonts w:hint="eastAsia" w:ascii="宋体" w:hAnsi="宋体" w:eastAsia="宋体" w:cs="宋体"/>
                <w:color w:val="auto"/>
                <w:kern w:val="0"/>
                <w:sz w:val="21"/>
                <w:szCs w:val="21"/>
                <w:highlight w:val="none"/>
                <w:lang w:val="en-US" w:eastAsia="zh-CN"/>
              </w:rPr>
              <w:t>滁州市城投工程咨询管理有限公司</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开户行：中国银行滁州分行营业部 </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  号：184256514737</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保证金到账截止时间同投标文件递交截止时间，交纳保证金时须在交易附言中注明：“滁州市建筑垃圾综合处置项目土方平整工程”项目投标保证金。</w:t>
            </w:r>
          </w:p>
          <w:p>
            <w:pPr>
              <w:keepNext w:val="0"/>
              <w:keepLines w:val="0"/>
              <w:widowControl/>
              <w:suppressLineNumbers w:val="0"/>
              <w:autoSpaceDE w:val="0"/>
              <w:autoSpaceDN/>
              <w:spacing w:before="0" w:beforeAutospacing="0" w:after="0" w:afterAutospacing="0" w:line="440" w:lineRule="exact"/>
              <w:ind w:left="0" w:right="0"/>
              <w:jc w:val="left"/>
              <w:rPr>
                <w:rFonts w:hint="default" w:ascii="宋体" w:hAnsi="宋体" w:eastAsia="宋体" w:cs="宋体"/>
                <w:color w:val="auto"/>
                <w:kern w:val="2"/>
                <w:sz w:val="21"/>
                <w:szCs w:val="21"/>
                <w:highlight w:val="none"/>
                <w:lang w:val="en-US"/>
              </w:rPr>
            </w:pPr>
            <w:r>
              <w:rPr>
                <w:rFonts w:hint="eastAsia" w:ascii="宋体" w:hAnsi="宋体" w:eastAsia="宋体" w:cs="宋体"/>
                <w:color w:val="auto"/>
                <w:kern w:val="0"/>
                <w:sz w:val="21"/>
                <w:szCs w:val="21"/>
                <w:highlight w:val="none"/>
              </w:rPr>
              <w:t>各投标人请严格按照招标公告和招标文件载明的银行、账户汇入投标保证金，否则在开标时无法查询保证金是否到账将导致评标委员会否决其投标。</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67" w:hRule="atLeast"/>
          <w:jc w:val="center"/>
        </w:trPr>
        <w:tc>
          <w:tcPr>
            <w:tcW w:w="9583" w:type="dxa"/>
            <w:gridSpan w:val="6"/>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0"/>
                <w:sz w:val="21"/>
                <w:szCs w:val="21"/>
                <w:highlight w:val="none"/>
              </w:rPr>
            </w:pPr>
            <w:r>
              <w:rPr>
                <w:rFonts w:hint="eastAsia" w:ascii="宋体" w:hAnsi="宋体" w:eastAsia="宋体" w:cs="宋体"/>
                <w:kern w:val="2"/>
                <w:sz w:val="21"/>
                <w:szCs w:val="21"/>
                <w:highlight w:val="none"/>
                <w:lang w:val="en-US" w:eastAsia="zh-CN" w:bidi="ar"/>
              </w:rPr>
              <w:t>招标文件获取方式：投标人从滁州市兴滁矿业投资集团有限公司（http://www.xckytz.com/）下载。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5" w:hRule="atLeast"/>
          <w:jc w:val="center"/>
        </w:trPr>
        <w:tc>
          <w:tcPr>
            <w:tcW w:w="9583" w:type="dxa"/>
            <w:gridSpan w:val="6"/>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招标文件获取时间：</w:t>
            </w:r>
            <w:r>
              <w:rPr>
                <w:rFonts w:hint="eastAsia" w:ascii="宋体" w:hAnsi="宋体" w:eastAsia="宋体" w:cs="宋体"/>
                <w:b/>
                <w:bCs/>
                <w:kern w:val="0"/>
                <w:sz w:val="21"/>
                <w:szCs w:val="21"/>
                <w:highlight w:val="none"/>
                <w:lang w:val="en-US" w:eastAsia="zh-CN" w:bidi="ar"/>
              </w:rPr>
              <w:t>2024年</w:t>
            </w:r>
            <w:r>
              <w:rPr>
                <w:rFonts w:hint="eastAsia" w:ascii="宋体" w:hAnsi="宋体" w:cs="宋体"/>
                <w:b/>
                <w:bCs/>
                <w:kern w:val="0"/>
                <w:sz w:val="21"/>
                <w:szCs w:val="21"/>
                <w:highlight w:val="none"/>
                <w:lang w:val="en-US" w:eastAsia="zh-CN" w:bidi="ar"/>
              </w:rPr>
              <w:t>9</w:t>
            </w:r>
            <w:r>
              <w:rPr>
                <w:rFonts w:hint="eastAsia" w:ascii="宋体" w:hAnsi="宋体" w:eastAsia="宋体" w:cs="宋体"/>
                <w:b/>
                <w:bCs/>
                <w:kern w:val="0"/>
                <w:sz w:val="21"/>
                <w:szCs w:val="21"/>
                <w:highlight w:val="none"/>
                <w:lang w:val="en-US" w:eastAsia="zh-CN" w:bidi="ar"/>
              </w:rPr>
              <w:t>月</w:t>
            </w:r>
            <w:r>
              <w:rPr>
                <w:rFonts w:hint="eastAsia" w:ascii="宋体" w:hAnsi="宋体" w:cs="宋体"/>
                <w:b/>
                <w:bCs/>
                <w:kern w:val="0"/>
                <w:sz w:val="21"/>
                <w:szCs w:val="21"/>
                <w:highlight w:val="none"/>
                <w:lang w:val="en-US" w:eastAsia="zh-CN" w:bidi="ar"/>
              </w:rPr>
              <w:t>6</w:t>
            </w:r>
            <w:r>
              <w:rPr>
                <w:rFonts w:hint="eastAsia" w:ascii="宋体" w:hAnsi="宋体" w:eastAsia="宋体" w:cs="宋体"/>
                <w:b/>
                <w:bCs/>
                <w:kern w:val="0"/>
                <w:sz w:val="21"/>
                <w:szCs w:val="21"/>
                <w:highlight w:val="none"/>
                <w:lang w:val="en-US" w:eastAsia="zh-CN" w:bidi="ar"/>
              </w:rPr>
              <w:t>日17时后</w:t>
            </w:r>
            <w:r>
              <w:rPr>
                <w:rFonts w:hint="eastAsia" w:ascii="宋体" w:hAnsi="宋体" w:eastAsia="宋体" w:cs="宋体"/>
                <w:kern w:val="0"/>
                <w:sz w:val="21"/>
                <w:szCs w:val="21"/>
                <w:highlight w:val="none"/>
                <w:lang w:val="en-US" w:eastAsia="zh-CN" w:bidi="ar"/>
              </w:rPr>
              <w:t>，如投标人不及时下载招标文件，造成后果由投标人自负。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3" w:hRule="atLeast"/>
          <w:jc w:val="center"/>
        </w:trPr>
        <w:tc>
          <w:tcPr>
            <w:tcW w:w="4690" w:type="dxa"/>
            <w:gridSpan w:val="4"/>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cs="宋体"/>
                <w:szCs w:val="21"/>
              </w:rPr>
            </w:pPr>
            <w:r>
              <w:rPr>
                <w:rFonts w:hint="eastAsia" w:ascii="宋体" w:hAnsi="宋体" w:cs="宋体"/>
                <w:szCs w:val="21"/>
              </w:rPr>
              <w:t xml:space="preserve">招标人名称：滁州市皖能兴滁环境科技有限公司 </w:t>
            </w:r>
          </w:p>
          <w:p>
            <w:pPr>
              <w:keepNext w:val="0"/>
              <w:keepLines w:val="0"/>
              <w:widowControl/>
              <w:suppressLineNumbers w:val="0"/>
              <w:spacing w:before="0" w:beforeAutospacing="0" w:after="0" w:afterAutospacing="0" w:line="360" w:lineRule="exact"/>
              <w:ind w:left="0" w:right="0"/>
              <w:jc w:val="left"/>
              <w:rPr>
                <w:rFonts w:hint="eastAsia" w:ascii="宋体" w:hAnsi="宋体" w:cs="宋体"/>
                <w:szCs w:val="21"/>
              </w:rPr>
            </w:pPr>
            <w:r>
              <w:rPr>
                <w:rFonts w:hint="eastAsia" w:ascii="宋体" w:hAnsi="宋体" w:cs="宋体"/>
                <w:szCs w:val="21"/>
              </w:rPr>
              <w:t xml:space="preserve">地址：城投大厦 </w:t>
            </w:r>
          </w:p>
          <w:p>
            <w:pPr>
              <w:keepNext w:val="0"/>
              <w:keepLines w:val="0"/>
              <w:widowControl/>
              <w:suppressLineNumbers w:val="0"/>
              <w:spacing w:before="0" w:beforeAutospacing="0" w:after="0" w:afterAutospacing="0" w:line="360" w:lineRule="exact"/>
              <w:ind w:left="0" w:right="0"/>
              <w:jc w:val="left"/>
              <w:rPr>
                <w:rFonts w:hint="default" w:ascii="宋体" w:hAnsi="宋体" w:cs="宋体"/>
                <w:szCs w:val="21"/>
              </w:rPr>
            </w:pPr>
            <w:r>
              <w:rPr>
                <w:rFonts w:hint="eastAsia" w:ascii="宋体" w:hAnsi="宋体" w:cs="宋体"/>
                <w:szCs w:val="21"/>
              </w:rPr>
              <w:t xml:space="preserve">联系人：陈倩倩、江玉龙 </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cs="宋体"/>
                <w:szCs w:val="21"/>
              </w:rPr>
              <w:t xml:space="preserve">联系方式：18726618862、18130062551 </w:t>
            </w:r>
          </w:p>
        </w:tc>
        <w:tc>
          <w:tcPr>
            <w:tcW w:w="4893" w:type="dxa"/>
            <w:gridSpan w:val="2"/>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left"/>
              <w:rPr>
                <w:rFonts w:hint="eastAsia" w:ascii="宋体" w:hAnsi="宋体" w:cs="宋体"/>
                <w:szCs w:val="21"/>
              </w:rPr>
            </w:pPr>
            <w:r>
              <w:rPr>
                <w:rFonts w:hint="eastAsia" w:ascii="宋体" w:hAnsi="宋体" w:cs="宋体"/>
                <w:szCs w:val="21"/>
              </w:rPr>
              <w:t>招标代理机构：滁州市城投工程咨询管理有限公司</w:t>
            </w:r>
          </w:p>
          <w:p>
            <w:pPr>
              <w:keepNext w:val="0"/>
              <w:keepLines w:val="0"/>
              <w:widowControl/>
              <w:suppressLineNumbers w:val="0"/>
              <w:spacing w:before="0" w:beforeAutospacing="0" w:after="0" w:afterAutospacing="0" w:line="360" w:lineRule="exact"/>
              <w:ind w:left="0" w:right="0"/>
              <w:jc w:val="left"/>
              <w:rPr>
                <w:rFonts w:hint="eastAsia" w:ascii="宋体" w:hAnsi="宋体" w:cs="宋体"/>
                <w:szCs w:val="21"/>
              </w:rPr>
            </w:pPr>
            <w:r>
              <w:rPr>
                <w:rFonts w:hint="eastAsia" w:ascii="宋体" w:hAnsi="宋体" w:cs="宋体"/>
                <w:szCs w:val="21"/>
              </w:rPr>
              <w:t>地址：滁州市龙蟠大道109号房产大厦6楼</w:t>
            </w:r>
          </w:p>
          <w:p>
            <w:pPr>
              <w:keepNext w:val="0"/>
              <w:keepLines w:val="0"/>
              <w:widowControl/>
              <w:suppressLineNumbers w:val="0"/>
              <w:spacing w:before="0" w:beforeAutospacing="0" w:after="0" w:afterAutospacing="0" w:line="360" w:lineRule="exact"/>
              <w:ind w:left="0" w:right="0"/>
              <w:jc w:val="left"/>
              <w:rPr>
                <w:rFonts w:hint="default" w:ascii="宋体" w:hAnsi="宋体" w:eastAsia="宋体" w:cs="宋体"/>
                <w:szCs w:val="21"/>
                <w:lang w:val="en-US" w:eastAsia="zh-CN"/>
              </w:rPr>
            </w:pPr>
            <w:r>
              <w:rPr>
                <w:rFonts w:hint="eastAsia" w:ascii="宋体" w:hAnsi="宋体" w:cs="宋体"/>
                <w:szCs w:val="21"/>
              </w:rPr>
              <w:t>联系人：</w:t>
            </w:r>
            <w:r>
              <w:rPr>
                <w:rFonts w:hint="eastAsia" w:ascii="宋体" w:hAnsi="宋体" w:cs="宋体"/>
                <w:szCs w:val="21"/>
                <w:lang w:val="en-US" w:eastAsia="zh-CN"/>
              </w:rPr>
              <w:t>田甜</w:t>
            </w:r>
          </w:p>
          <w:p>
            <w:pPr>
              <w:keepNext w:val="0"/>
              <w:keepLines w:val="0"/>
              <w:widowControl/>
              <w:suppressLineNumbers w:val="0"/>
              <w:autoSpaceDE w:val="0"/>
              <w:autoSpaceDN/>
              <w:spacing w:before="0" w:beforeAutospacing="0" w:after="0" w:afterAutospacing="0" w:line="440" w:lineRule="exact"/>
              <w:ind w:left="0" w:right="0"/>
              <w:jc w:val="left"/>
              <w:rPr>
                <w:rFonts w:hint="eastAsia" w:ascii="宋体" w:hAnsi="宋体" w:eastAsia="宋体" w:cs="宋体"/>
                <w:kern w:val="0"/>
                <w:sz w:val="21"/>
                <w:szCs w:val="21"/>
                <w:highlight w:val="none"/>
                <w:u w:val="single"/>
              </w:rPr>
            </w:pPr>
            <w:r>
              <w:rPr>
                <w:rFonts w:hint="eastAsia" w:ascii="宋体" w:hAnsi="宋体" w:cs="宋体"/>
                <w:szCs w:val="21"/>
              </w:rPr>
              <w:t>联系方式：</w:t>
            </w:r>
            <w:r>
              <w:rPr>
                <w:rFonts w:hint="eastAsia" w:ascii="宋体" w:hAnsi="宋体" w:cs="宋体"/>
                <w:kern w:val="0"/>
                <w:szCs w:val="21"/>
              </w:rPr>
              <w:t>0550-351951</w:t>
            </w:r>
            <w:r>
              <w:rPr>
                <w:rFonts w:hint="eastAsia" w:ascii="宋体" w:hAnsi="宋体" w:cs="宋体"/>
                <w:kern w:val="0"/>
                <w:szCs w:val="21"/>
                <w:lang w:val="en-US" w:eastAsia="zh-CN"/>
              </w:rPr>
              <w:t>9</w:t>
            </w:r>
            <w:r>
              <w:rPr>
                <w:rFonts w:hint="eastAsia" w:ascii="宋体" w:hAnsi="宋体" w:cs="宋体"/>
                <w:kern w:val="0"/>
                <w:szCs w:val="21"/>
              </w:rPr>
              <w:t>、1</w:t>
            </w:r>
            <w:r>
              <w:rPr>
                <w:rFonts w:hint="eastAsia" w:ascii="宋体" w:hAnsi="宋体" w:cs="宋体"/>
                <w:kern w:val="0"/>
                <w:szCs w:val="21"/>
                <w:lang w:val="en-US" w:eastAsia="zh-CN"/>
              </w:rPr>
              <w:t>5955005370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67" w:hRule="atLeast"/>
          <w:jc w:val="center"/>
        </w:trPr>
        <w:tc>
          <w:tcPr>
            <w:tcW w:w="9583" w:type="dxa"/>
            <w:gridSpan w:val="6"/>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b/>
                <w:bCs w:val="0"/>
                <w:kern w:val="2"/>
                <w:sz w:val="21"/>
                <w:szCs w:val="21"/>
                <w:highlight w:val="none"/>
                <w:lang w:val="en-US" w:eastAsia="zh-CN" w:bidi="ar"/>
              </w:rPr>
              <w:t>公告发布媒体</w:t>
            </w:r>
            <w:r>
              <w:rPr>
                <w:rFonts w:hint="eastAsia" w:ascii="宋体" w:hAnsi="宋体" w:eastAsia="宋体" w:cs="宋体"/>
                <w:kern w:val="2"/>
                <w:sz w:val="21"/>
                <w:szCs w:val="21"/>
                <w:highlight w:val="none"/>
                <w:lang w:val="en-US" w:eastAsia="zh-CN" w:bidi="ar"/>
              </w:rPr>
              <w:t>：滁州市兴滁矿业投资集团有限公司</w:t>
            </w:r>
            <w:r>
              <w:rPr>
                <w:rFonts w:hint="eastAsia" w:ascii="宋体" w:hAnsi="宋体" w:cs="宋体"/>
                <w:kern w:val="2"/>
                <w:sz w:val="21"/>
                <w:szCs w:val="21"/>
                <w:highlight w:val="none"/>
                <w:lang w:val="en-US" w:eastAsia="zh-CN" w:bidi="ar"/>
              </w:rPr>
              <w:t>网站、滁州市城投工程咨询管理有限公司网站</w:t>
            </w:r>
          </w:p>
        </w:tc>
      </w:tr>
    </w:tbl>
    <w:p>
      <w:pPr>
        <w:pStyle w:val="43"/>
        <w:spacing w:beforeLines="50" w:afterLines="50" w:line="440" w:lineRule="exact"/>
        <w:rPr>
          <w:bCs/>
          <w:color w:val="auto"/>
          <w:szCs w:val="32"/>
          <w:highlight w:val="none"/>
        </w:rPr>
      </w:pPr>
      <w:r>
        <w:rPr>
          <w:rFonts w:hint="eastAsia"/>
          <w:bCs/>
          <w:color w:val="auto"/>
          <w:szCs w:val="32"/>
          <w:highlight w:val="none"/>
        </w:rPr>
        <w:br w:type="page"/>
      </w:r>
      <w:bookmarkStart w:id="36" w:name="_Toc22947"/>
      <w:bookmarkStart w:id="37" w:name="_Toc18989"/>
      <w:r>
        <w:rPr>
          <w:rFonts w:hint="eastAsia"/>
          <w:bCs/>
          <w:color w:val="auto"/>
          <w:szCs w:val="32"/>
          <w:highlight w:val="none"/>
        </w:rPr>
        <w:t>第一章  投标人须知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spacing w:beforeLines="50" w:afterLines="50" w:line="440" w:lineRule="exact"/>
        <w:jc w:val="center"/>
        <w:rPr>
          <w:b/>
          <w:bCs/>
          <w:color w:val="auto"/>
          <w:sz w:val="28"/>
          <w:szCs w:val="28"/>
          <w:highlight w:val="none"/>
        </w:rPr>
      </w:pPr>
      <w:bookmarkStart w:id="38" w:name="_Toc506107268"/>
      <w:bookmarkStart w:id="39" w:name="_Toc246996174"/>
      <w:bookmarkStart w:id="40" w:name="_Toc15058845"/>
      <w:bookmarkStart w:id="41" w:name="_Toc152042304"/>
      <w:bookmarkStart w:id="42" w:name="_Toc144974496"/>
      <w:bookmarkStart w:id="43" w:name="_Toc324404814"/>
      <w:bookmarkStart w:id="44" w:name="_Toc247085688"/>
      <w:bookmarkStart w:id="45" w:name="_Toc35425051"/>
      <w:bookmarkStart w:id="46" w:name="_Toc35424884"/>
      <w:bookmarkStart w:id="47" w:name="_Toc152045528"/>
      <w:bookmarkStart w:id="48" w:name="_Toc179632545"/>
      <w:bookmarkStart w:id="49" w:name="_Toc246996917"/>
      <w:r>
        <w:rPr>
          <w:rFonts w:hint="eastAsia"/>
          <w:b/>
          <w:bCs/>
          <w:color w:val="auto"/>
          <w:sz w:val="28"/>
          <w:szCs w:val="28"/>
          <w:highlight w:val="none"/>
        </w:rPr>
        <w:t>投标人须知前附表</w:t>
      </w:r>
      <w:bookmarkEnd w:id="38"/>
      <w:bookmarkEnd w:id="39"/>
      <w:bookmarkEnd w:id="40"/>
      <w:bookmarkEnd w:id="41"/>
      <w:bookmarkEnd w:id="42"/>
      <w:bookmarkEnd w:id="43"/>
      <w:bookmarkEnd w:id="44"/>
      <w:bookmarkEnd w:id="45"/>
      <w:bookmarkEnd w:id="46"/>
      <w:bookmarkEnd w:id="47"/>
      <w:bookmarkEnd w:id="48"/>
      <w:bookmarkEnd w:id="49"/>
    </w:p>
    <w:tbl>
      <w:tblPr>
        <w:tblStyle w:val="46"/>
        <w:tblW w:w="10328" w:type="dxa"/>
        <w:jc w:val="center"/>
        <w:tblLayout w:type="fixed"/>
        <w:tblCellMar>
          <w:top w:w="0" w:type="dxa"/>
          <w:left w:w="108" w:type="dxa"/>
          <w:bottom w:w="0" w:type="dxa"/>
          <w:right w:w="108" w:type="dxa"/>
        </w:tblCellMar>
      </w:tblPr>
      <w:tblGrid>
        <w:gridCol w:w="868"/>
        <w:gridCol w:w="910"/>
        <w:gridCol w:w="1299"/>
        <w:gridCol w:w="7251"/>
      </w:tblGrid>
      <w:tr>
        <w:tblPrEx>
          <w:tblCellMar>
            <w:top w:w="0" w:type="dxa"/>
            <w:left w:w="108" w:type="dxa"/>
            <w:bottom w:w="0" w:type="dxa"/>
            <w:right w:w="108" w:type="dxa"/>
          </w:tblCellMar>
        </w:tblPrEx>
        <w:trPr>
          <w:trHeight w:val="52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b/>
                <w:color w:val="auto"/>
                <w:szCs w:val="21"/>
                <w:highlight w:val="none"/>
              </w:rPr>
            </w:pPr>
            <w:bookmarkStart w:id="50" w:name="_Toc324404815"/>
            <w:bookmarkStart w:id="51" w:name="_Toc506107269"/>
            <w:bookmarkStart w:id="52" w:name="_Toc144974497"/>
            <w:bookmarkStart w:id="53" w:name="_Toc179632546"/>
            <w:bookmarkStart w:id="54" w:name="_Toc152042305"/>
            <w:bookmarkStart w:id="55" w:name="_Toc152045529"/>
            <w:bookmarkStart w:id="56" w:name="_Toc246996918"/>
            <w:bookmarkStart w:id="57" w:name="_Toc246996175"/>
            <w:bookmarkStart w:id="58" w:name="_Toc247085689"/>
            <w:r>
              <w:rPr>
                <w:rFonts w:hint="eastAsia" w:ascii="宋体" w:hAnsi="宋体" w:cs="宋体"/>
                <w:b/>
                <w:color w:val="auto"/>
                <w:szCs w:val="21"/>
                <w:highlight w:val="none"/>
              </w:rPr>
              <w:t>序号</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b/>
                <w:color w:val="auto"/>
                <w:szCs w:val="21"/>
                <w:highlight w:val="none"/>
              </w:rPr>
            </w:pPr>
            <w:r>
              <w:rPr>
                <w:rFonts w:hint="eastAsia" w:ascii="宋体" w:hAnsi="宋体" w:cs="宋体"/>
                <w:b/>
                <w:color w:val="auto"/>
                <w:szCs w:val="21"/>
                <w:highlight w:val="none"/>
              </w:rPr>
              <w:t>条  款  名  称</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b/>
                <w:color w:val="auto"/>
                <w:szCs w:val="21"/>
                <w:highlight w:val="none"/>
              </w:rPr>
            </w:pPr>
            <w:r>
              <w:rPr>
                <w:rFonts w:hint="eastAsia" w:ascii="宋体" w:hAnsi="宋体" w:cs="宋体"/>
                <w:b/>
                <w:color w:val="auto"/>
                <w:szCs w:val="21"/>
                <w:highlight w:val="none"/>
              </w:rPr>
              <w:t>编  列  内  容</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1</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招标人</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jc w:val="left"/>
              <w:textAlignment w:val="auto"/>
              <w:rPr>
                <w:rFonts w:hint="eastAsia" w:eastAsia="宋体"/>
                <w:color w:val="auto"/>
                <w:kern w:val="2"/>
                <w:sz w:val="21"/>
                <w:szCs w:val="21"/>
                <w:highlight w:val="none"/>
                <w:lang w:eastAsia="zh-CN"/>
              </w:rPr>
            </w:pPr>
            <w:r>
              <w:rPr>
                <w:rFonts w:hint="eastAsia" w:ascii="宋体" w:hAnsi="宋体" w:eastAsia="宋体" w:cs="宋体"/>
                <w:color w:val="auto"/>
                <w:kern w:val="0"/>
                <w:szCs w:val="21"/>
                <w:highlight w:val="none"/>
              </w:rPr>
              <w:t>详见招标公告</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2</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招标代理机构</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rPr>
              <w:t>详见招标公告</w:t>
            </w:r>
          </w:p>
        </w:tc>
      </w:tr>
      <w:tr>
        <w:tblPrEx>
          <w:tblCellMar>
            <w:top w:w="0" w:type="dxa"/>
            <w:left w:w="108" w:type="dxa"/>
            <w:bottom w:w="0" w:type="dxa"/>
            <w:right w:w="108" w:type="dxa"/>
          </w:tblCellMar>
        </w:tblPrEx>
        <w:trPr>
          <w:trHeight w:val="52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3</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项目名称</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kern w:val="0"/>
                <w:szCs w:val="21"/>
                <w:highlight w:val="none"/>
              </w:rPr>
              <w:t>详见招标公告</w:t>
            </w:r>
          </w:p>
        </w:tc>
      </w:tr>
      <w:tr>
        <w:tblPrEx>
          <w:tblCellMar>
            <w:top w:w="0" w:type="dxa"/>
            <w:left w:w="108" w:type="dxa"/>
            <w:bottom w:w="0" w:type="dxa"/>
            <w:right w:w="108" w:type="dxa"/>
          </w:tblCellMar>
        </w:tblPrEx>
        <w:trPr>
          <w:trHeight w:val="50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4</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建设地点</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eastAsia="宋体" w:cs="宋体"/>
                <w:color w:val="auto"/>
                <w:kern w:val="0"/>
                <w:szCs w:val="21"/>
                <w:highlight w:val="none"/>
              </w:rPr>
              <w:t>详见招标公告</w:t>
            </w:r>
          </w:p>
        </w:tc>
      </w:tr>
      <w:tr>
        <w:tblPrEx>
          <w:tblCellMar>
            <w:top w:w="0" w:type="dxa"/>
            <w:left w:w="108" w:type="dxa"/>
            <w:bottom w:w="0" w:type="dxa"/>
            <w:right w:w="108" w:type="dxa"/>
          </w:tblCellMar>
        </w:tblPrEx>
        <w:trPr>
          <w:trHeight w:val="555"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5</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 w:val="21"/>
                <w:szCs w:val="21"/>
                <w:highlight w:val="none"/>
              </w:rPr>
              <w:t>资金落实情况</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sz w:val="21"/>
                <w:szCs w:val="21"/>
                <w:highlight w:val="none"/>
                <w:lang w:val="en-US" w:eastAsia="zh-CN"/>
              </w:rPr>
              <w:t>已落实</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6</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招标范围</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color w:val="auto"/>
                <w:szCs w:val="21"/>
                <w:highlight w:val="none"/>
              </w:rPr>
              <w:t>详见招标公告</w:t>
            </w:r>
          </w:p>
        </w:tc>
      </w:tr>
      <w:tr>
        <w:tblPrEx>
          <w:tblCellMar>
            <w:top w:w="0" w:type="dxa"/>
            <w:left w:w="108" w:type="dxa"/>
            <w:bottom w:w="0" w:type="dxa"/>
            <w:right w:w="108" w:type="dxa"/>
          </w:tblCellMar>
        </w:tblPrEx>
        <w:trPr>
          <w:trHeight w:val="496"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7</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评标办法</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96"/>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最低评标价法</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8</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工期</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textAlignment w:val="auto"/>
              <w:rPr>
                <w:rFonts w:hint="eastAsia" w:ascii="宋体" w:hAnsi="宋体" w:cs="宋体"/>
                <w:b/>
                <w:color w:val="auto"/>
                <w:sz w:val="21"/>
                <w:szCs w:val="21"/>
                <w:highlight w:val="none"/>
                <w:lang w:val="en-US" w:eastAsia="zh-CN"/>
              </w:rPr>
            </w:pPr>
            <w:r>
              <w:rPr>
                <w:rFonts w:hint="eastAsia" w:ascii="宋体" w:hAnsi="宋体" w:cs="宋体"/>
                <w:b/>
                <w:color w:val="auto"/>
                <w:sz w:val="21"/>
                <w:szCs w:val="21"/>
                <w:highlight w:val="none"/>
              </w:rPr>
              <w:t>计划工期：工期从具备条件开始或接到业主通知起</w:t>
            </w:r>
            <w:r>
              <w:rPr>
                <w:rFonts w:hint="eastAsia" w:ascii="宋体" w:hAnsi="宋体" w:cs="宋体"/>
                <w:b/>
                <w:color w:val="auto"/>
                <w:sz w:val="21"/>
                <w:szCs w:val="21"/>
                <w:highlight w:val="none"/>
                <w:u w:val="single"/>
                <w:lang w:val="en-US" w:eastAsia="zh-CN"/>
              </w:rPr>
              <w:t xml:space="preserve"> 30 </w:t>
            </w:r>
            <w:r>
              <w:rPr>
                <w:rFonts w:hint="eastAsia" w:ascii="宋体" w:hAnsi="宋体" w:cs="宋体"/>
                <w:b/>
                <w:color w:val="auto"/>
                <w:sz w:val="21"/>
                <w:szCs w:val="21"/>
                <w:highlight w:val="none"/>
                <w:u w:val="none"/>
                <w:lang w:val="en-US" w:eastAsia="zh-CN"/>
              </w:rPr>
              <w:t>个</w:t>
            </w:r>
            <w:r>
              <w:rPr>
                <w:rFonts w:hint="eastAsia" w:ascii="宋体" w:hAnsi="宋体" w:cs="宋体"/>
                <w:b/>
                <w:color w:val="auto"/>
                <w:sz w:val="21"/>
                <w:szCs w:val="21"/>
                <w:highlight w:val="none"/>
                <w:lang w:val="en-US" w:eastAsia="zh-CN"/>
              </w:rPr>
              <w:t>日历天内完工（其中围挡自接到业主通知起一周内施工完毕）。</w:t>
            </w:r>
          </w:p>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sz w:val="21"/>
                <w:szCs w:val="21"/>
                <w:highlight w:val="none"/>
              </w:rPr>
              <w:t>注：投标人自报的承诺工期为考核标准。工期每延误一天，处以</w:t>
            </w:r>
            <w:r>
              <w:rPr>
                <w:rFonts w:hint="eastAsia" w:ascii="宋体" w:hAnsi="宋体" w:cs="宋体"/>
                <w:color w:val="auto"/>
                <w:sz w:val="21"/>
                <w:szCs w:val="21"/>
                <w:highlight w:val="none"/>
                <w:u w:val="single"/>
                <w:lang w:val="en-US" w:eastAsia="zh-CN"/>
              </w:rPr>
              <w:t xml:space="preserve">5000 </w:t>
            </w:r>
            <w:r>
              <w:rPr>
                <w:rFonts w:hint="eastAsia" w:ascii="宋体" w:hAnsi="宋体" w:cs="宋体"/>
                <w:color w:val="auto"/>
                <w:sz w:val="21"/>
                <w:szCs w:val="21"/>
                <w:highlight w:val="none"/>
              </w:rPr>
              <w:t xml:space="preserve">元违约金，工期提前不奖励。 </w:t>
            </w:r>
            <w:r>
              <w:rPr>
                <w:rFonts w:hint="eastAsia" w:ascii="宋体" w:hAnsi="宋体" w:cs="宋体"/>
                <w:color w:val="auto"/>
                <w:sz w:val="21"/>
                <w:szCs w:val="21"/>
                <w:highlight w:val="none"/>
                <w:lang w:val="en-US" w:eastAsia="zh-CN"/>
              </w:rPr>
              <w:t>工期延误累计15天及以上，业主有权单方面无偿解除合同。</w:t>
            </w:r>
            <w:r>
              <w:rPr>
                <w:rFonts w:hint="eastAsia" w:ascii="宋体" w:hAnsi="宋体" w:cs="宋体"/>
                <w:color w:val="auto"/>
                <w:sz w:val="21"/>
                <w:szCs w:val="21"/>
                <w:highlight w:val="none"/>
              </w:rPr>
              <w:t xml:space="preserve">  </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9</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质量要求</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kern w:val="0"/>
                <w:szCs w:val="21"/>
                <w:highlight w:val="none"/>
              </w:rPr>
              <w:t>必须达到国家工程施工质量验收</w:t>
            </w:r>
            <w:r>
              <w:rPr>
                <w:rFonts w:hint="eastAsia" w:ascii="宋体" w:hAnsi="宋体" w:cs="宋体"/>
                <w:color w:val="auto"/>
                <w:kern w:val="0"/>
                <w:szCs w:val="21"/>
                <w:highlight w:val="none"/>
                <w:u w:val="single"/>
              </w:rPr>
              <w:t xml:space="preserve"> 合格 </w:t>
            </w:r>
            <w:r>
              <w:rPr>
                <w:rFonts w:hint="eastAsia" w:ascii="宋体" w:hAnsi="宋体" w:cs="宋体"/>
                <w:color w:val="auto"/>
                <w:kern w:val="0"/>
                <w:szCs w:val="21"/>
                <w:highlight w:val="none"/>
              </w:rPr>
              <w:t>标准</w:t>
            </w:r>
            <w:r>
              <w:rPr>
                <w:rFonts w:hint="eastAsia" w:ascii="宋体" w:hAnsi="宋体" w:cs="宋体"/>
                <w:color w:val="auto"/>
                <w:szCs w:val="21"/>
                <w:highlight w:val="none"/>
              </w:rPr>
              <w:t xml:space="preserve">。 </w:t>
            </w:r>
          </w:p>
        </w:tc>
      </w:tr>
      <w:tr>
        <w:tblPrEx>
          <w:tblCellMar>
            <w:top w:w="0" w:type="dxa"/>
            <w:left w:w="108" w:type="dxa"/>
            <w:bottom w:w="0" w:type="dxa"/>
            <w:right w:w="108" w:type="dxa"/>
          </w:tblCellMar>
        </w:tblPrEx>
        <w:trPr>
          <w:trHeight w:val="90" w:hRule="atLeast"/>
          <w:jc w:val="center"/>
        </w:trPr>
        <w:tc>
          <w:tcPr>
            <w:tcW w:w="868"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10</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投标人资质条件、能力和信誉</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详见招标公告</w:t>
            </w:r>
          </w:p>
        </w:tc>
      </w:tr>
      <w:tr>
        <w:tblPrEx>
          <w:tblCellMar>
            <w:top w:w="0" w:type="dxa"/>
            <w:left w:w="108" w:type="dxa"/>
            <w:bottom w:w="0" w:type="dxa"/>
            <w:right w:w="108" w:type="dxa"/>
          </w:tblCellMar>
        </w:tblPrEx>
        <w:trPr>
          <w:trHeight w:val="575" w:hRule="atLeast"/>
          <w:jc w:val="center"/>
        </w:trPr>
        <w:tc>
          <w:tcPr>
            <w:tcW w:w="868" w:type="dxa"/>
            <w:vMerge w:val="continue"/>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招标文件发布时间</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详见招标公告</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11</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pacing w:val="-4"/>
                <w:kern w:val="0"/>
                <w:szCs w:val="21"/>
                <w:highlight w:val="none"/>
              </w:rPr>
            </w:pPr>
            <w:r>
              <w:rPr>
                <w:rFonts w:hint="eastAsia" w:ascii="宋体" w:hAnsi="宋体" w:cs="宋体"/>
                <w:color w:val="auto"/>
                <w:spacing w:val="-4"/>
                <w:kern w:val="0"/>
                <w:szCs w:val="21"/>
                <w:highlight w:val="none"/>
              </w:rPr>
              <w:t>踏勘现场</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19"/>
              <w:keepNext w:val="0"/>
              <w:keepLines w:val="0"/>
              <w:pageBreakBefore w:val="0"/>
              <w:suppressLineNumbers w:val="0"/>
              <w:kinsoku/>
              <w:wordWrap/>
              <w:overflowPunct/>
              <w:topLinePunct/>
              <w:autoSpaceDN/>
              <w:bidi w:val="0"/>
              <w:spacing w:before="0" w:beforeAutospacing="0" w:after="0" w:afterAutospacing="0" w:line="440" w:lineRule="exact"/>
              <w:ind w:left="0" w:right="0"/>
              <w:textAlignment w:val="auto"/>
              <w:rPr>
                <w:rFonts w:hint="default" w:hAnsi="宋体" w:cs="宋体"/>
                <w:color w:val="auto"/>
                <w:spacing w:val="-4"/>
                <w:kern w:val="0"/>
                <w:sz w:val="21"/>
                <w:szCs w:val="21"/>
                <w:highlight w:val="none"/>
              </w:rPr>
            </w:pPr>
            <w:r>
              <w:rPr>
                <w:rFonts w:hint="eastAsia" w:hAnsi="宋体" w:cs="宋体"/>
                <w:color w:val="auto"/>
                <w:sz w:val="21"/>
                <w:szCs w:val="21"/>
                <w:highlight w:val="none"/>
              </w:rPr>
              <w:t>☑</w:t>
            </w:r>
            <w:r>
              <w:rPr>
                <w:rFonts w:hint="eastAsia" w:hAnsi="宋体" w:cs="宋体"/>
                <w:color w:val="auto"/>
                <w:spacing w:val="-4"/>
                <w:kern w:val="0"/>
                <w:sz w:val="21"/>
                <w:szCs w:val="21"/>
                <w:highlight w:val="none"/>
              </w:rPr>
              <w:t>不组织，投标人自行组织踏勘现场</w:t>
            </w:r>
            <w:r>
              <w:rPr>
                <w:rFonts w:hint="eastAsia" w:hAnsi="宋体" w:cs="宋体"/>
                <w:color w:val="auto"/>
                <w:sz w:val="21"/>
                <w:szCs w:val="21"/>
                <w:highlight w:val="none"/>
              </w:rPr>
              <w:t>；□组织</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12</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pacing w:val="-4"/>
                <w:kern w:val="0"/>
                <w:szCs w:val="21"/>
                <w:highlight w:val="none"/>
              </w:rPr>
            </w:pPr>
            <w:r>
              <w:rPr>
                <w:rFonts w:hint="eastAsia" w:ascii="宋体" w:hAnsi="宋体" w:cs="宋体"/>
                <w:color w:val="auto"/>
                <w:spacing w:val="-4"/>
                <w:kern w:val="0"/>
                <w:szCs w:val="21"/>
                <w:highlight w:val="none"/>
              </w:rPr>
              <w:t>投标预备会</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19"/>
              <w:keepNext w:val="0"/>
              <w:keepLines w:val="0"/>
              <w:pageBreakBefore w:val="0"/>
              <w:suppressLineNumbers w:val="0"/>
              <w:kinsoku/>
              <w:wordWrap/>
              <w:overflowPunct/>
              <w:topLinePunct/>
              <w:autoSpaceDN/>
              <w:bidi w:val="0"/>
              <w:spacing w:before="0" w:beforeAutospacing="0" w:after="0" w:afterAutospacing="0" w:line="440" w:lineRule="exact"/>
              <w:ind w:left="0" w:right="0"/>
              <w:textAlignment w:val="auto"/>
              <w:rPr>
                <w:rFonts w:hint="default" w:hAnsi="宋体" w:cs="宋体"/>
                <w:color w:val="auto"/>
                <w:spacing w:val="-4"/>
                <w:kern w:val="0"/>
                <w:sz w:val="21"/>
                <w:szCs w:val="21"/>
                <w:highlight w:val="none"/>
              </w:rPr>
            </w:pPr>
            <w:r>
              <w:rPr>
                <w:rFonts w:hint="eastAsia" w:hAnsi="宋体" w:cs="宋体"/>
                <w:color w:val="auto"/>
                <w:sz w:val="21"/>
                <w:szCs w:val="21"/>
                <w:highlight w:val="none"/>
                <w:lang w:eastAsia="zh-CN"/>
              </w:rPr>
              <w:t>☑</w:t>
            </w:r>
            <w:r>
              <w:rPr>
                <w:rFonts w:hint="eastAsia" w:hAnsi="宋体" w:cs="宋体"/>
                <w:color w:val="auto"/>
                <w:spacing w:val="-4"/>
                <w:kern w:val="0"/>
                <w:sz w:val="21"/>
                <w:szCs w:val="21"/>
                <w:highlight w:val="none"/>
              </w:rPr>
              <w:t>不召开</w:t>
            </w:r>
            <w:r>
              <w:rPr>
                <w:rFonts w:hint="eastAsia" w:hAnsi="宋体" w:cs="宋体"/>
                <w:color w:val="auto"/>
                <w:sz w:val="21"/>
                <w:szCs w:val="21"/>
                <w:highlight w:val="none"/>
              </w:rPr>
              <w:t>；</w:t>
            </w:r>
            <w:r>
              <w:rPr>
                <w:rFonts w:hint="eastAsia" w:hAnsi="宋体" w:cs="宋体"/>
                <w:color w:val="auto"/>
                <w:sz w:val="21"/>
                <w:szCs w:val="21"/>
                <w:highlight w:val="none"/>
                <w:lang w:eastAsia="zh-CN"/>
              </w:rPr>
              <w:t>□</w:t>
            </w:r>
            <w:r>
              <w:rPr>
                <w:rFonts w:hint="eastAsia" w:hAnsi="宋体" w:cs="宋体"/>
                <w:color w:val="auto"/>
                <w:sz w:val="21"/>
                <w:szCs w:val="21"/>
                <w:highlight w:val="none"/>
              </w:rPr>
              <w:t>召开</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13</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投标人提出问题的截止时间及方式</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25"/>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eastAsia" w:hAnsi="宋体" w:eastAsia="宋体" w:cs="宋体"/>
                <w:color w:val="auto"/>
                <w:szCs w:val="21"/>
                <w:highlight w:val="none"/>
                <w:lang w:eastAsia="zh-CN"/>
              </w:rPr>
            </w:pPr>
            <w:r>
              <w:rPr>
                <w:rFonts w:hint="eastAsia" w:ascii="宋体" w:hAnsi="宋体" w:cs="宋体"/>
                <w:color w:val="auto"/>
                <w:kern w:val="0"/>
                <w:szCs w:val="21"/>
                <w:highlight w:val="none"/>
              </w:rPr>
              <w:t>如投标人对招标文件有疑问，请于</w:t>
            </w:r>
            <w:r>
              <w:rPr>
                <w:rFonts w:hint="eastAsia" w:ascii="宋体" w:hAnsi="宋体" w:cs="宋体"/>
                <w:b w:val="0"/>
                <w:bCs/>
                <w:color w:val="auto"/>
                <w:szCs w:val="21"/>
                <w:highlight w:val="none"/>
              </w:rPr>
              <w:t>202</w:t>
            </w:r>
            <w:r>
              <w:rPr>
                <w:rFonts w:hint="eastAsia" w:ascii="宋体" w:hAnsi="宋体" w:cs="宋体"/>
                <w:b w:val="0"/>
                <w:bCs/>
                <w:color w:val="auto"/>
                <w:szCs w:val="21"/>
                <w:highlight w:val="none"/>
                <w:lang w:val="en-US" w:eastAsia="zh-CN"/>
              </w:rPr>
              <w:t>4</w:t>
            </w:r>
            <w:r>
              <w:rPr>
                <w:rFonts w:hint="eastAsia" w:ascii="宋体" w:hAnsi="宋体" w:cs="宋体"/>
                <w:b w:val="0"/>
                <w:bCs/>
                <w:color w:val="auto"/>
                <w:szCs w:val="21"/>
                <w:highlight w:val="none"/>
              </w:rPr>
              <w:t>年</w:t>
            </w:r>
            <w:r>
              <w:rPr>
                <w:rFonts w:hint="eastAsia" w:ascii="宋体" w:hAnsi="宋体" w:cs="宋体"/>
                <w:b w:val="0"/>
                <w:bCs/>
                <w:color w:val="auto"/>
                <w:szCs w:val="21"/>
                <w:highlight w:val="none"/>
                <w:lang w:val="en-US" w:eastAsia="zh-CN"/>
              </w:rPr>
              <w:t>9</w:t>
            </w:r>
            <w:r>
              <w:rPr>
                <w:rFonts w:hint="eastAsia" w:ascii="宋体" w:hAnsi="宋体" w:cs="宋体"/>
                <w:b w:val="0"/>
                <w:bCs/>
                <w:color w:val="auto"/>
                <w:szCs w:val="21"/>
                <w:highlight w:val="none"/>
              </w:rPr>
              <w:t>月</w:t>
            </w:r>
            <w:r>
              <w:rPr>
                <w:rFonts w:hint="eastAsia" w:ascii="宋体" w:hAnsi="宋体" w:cs="宋体"/>
                <w:b w:val="0"/>
                <w:bCs/>
                <w:color w:val="auto"/>
                <w:szCs w:val="21"/>
                <w:highlight w:val="none"/>
                <w:lang w:val="en-US" w:eastAsia="zh-CN"/>
              </w:rPr>
              <w:t>8</w:t>
            </w:r>
            <w:r>
              <w:rPr>
                <w:rFonts w:hint="eastAsia" w:ascii="宋体" w:hAnsi="宋体" w:cs="宋体"/>
                <w:b w:val="0"/>
                <w:bCs/>
                <w:color w:val="auto"/>
                <w:szCs w:val="21"/>
                <w:highlight w:val="none"/>
              </w:rPr>
              <w:t>日1</w:t>
            </w:r>
            <w:r>
              <w:rPr>
                <w:rFonts w:hint="eastAsia" w:ascii="宋体" w:hAnsi="宋体" w:cs="宋体"/>
                <w:b w:val="0"/>
                <w:bCs/>
                <w:color w:val="auto"/>
                <w:szCs w:val="21"/>
                <w:highlight w:val="none"/>
                <w:lang w:val="en-US" w:eastAsia="zh-CN"/>
              </w:rPr>
              <w:t>2</w:t>
            </w:r>
            <w:r>
              <w:rPr>
                <w:rFonts w:hint="eastAsia" w:ascii="宋体" w:hAnsi="宋体" w:cs="宋体"/>
                <w:b w:val="0"/>
                <w:bCs/>
                <w:color w:val="auto"/>
                <w:szCs w:val="21"/>
                <w:highlight w:val="none"/>
              </w:rPr>
              <w:t>时</w:t>
            </w:r>
            <w:r>
              <w:rPr>
                <w:rFonts w:hint="eastAsia" w:ascii="宋体" w:hAnsi="宋体" w:cs="宋体"/>
                <w:color w:val="auto"/>
                <w:kern w:val="0"/>
                <w:szCs w:val="21"/>
                <w:highlight w:val="none"/>
              </w:rPr>
              <w:t>前将疑问内容以电子邮件形式发送至</w:t>
            </w:r>
            <w:r>
              <w:rPr>
                <w:rFonts w:hint="eastAsia" w:ascii="宋体" w:hAnsi="宋体" w:cs="宋体"/>
                <w:color w:val="auto"/>
                <w:kern w:val="0"/>
                <w:szCs w:val="21"/>
                <w:highlight w:val="none"/>
                <w:lang w:eastAsia="zh-CN"/>
              </w:rPr>
              <w:t>czsctgczx@163.com（滁州市城投工程咨询管理有限公司邮箱）</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14</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招标人澄清的时间及方式</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"mailto:日11时前将疑问内容以电子邮件形式发送至66267656@qq.com（安徽佳宝信项目管理有限公司邮箱），招标人将在2020年6月"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招标人将在202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月</w:t>
            </w:r>
            <w:r>
              <w:rPr>
                <w:rFonts w:hint="eastAsia" w:ascii="宋体" w:hAnsi="宋体" w:cs="宋体"/>
                <w:color w:val="auto"/>
                <w:szCs w:val="21"/>
                <w:highlight w:val="none"/>
              </w:rPr>
              <w:fldChar w:fldCharType="end"/>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日</w:t>
            </w:r>
            <w:r>
              <w:rPr>
                <w:rFonts w:hint="eastAsia" w:ascii="宋体" w:hAnsi="宋体" w:cs="宋体"/>
                <w:color w:val="auto"/>
                <w:szCs w:val="21"/>
                <w:highlight w:val="none"/>
                <w:lang w:val="en-US" w:eastAsia="zh-CN"/>
              </w:rPr>
              <w:t>17</w:t>
            </w:r>
            <w:r>
              <w:rPr>
                <w:rFonts w:hint="eastAsia" w:ascii="宋体" w:hAnsi="宋体" w:cs="宋体"/>
                <w:color w:val="auto"/>
                <w:szCs w:val="21"/>
                <w:highlight w:val="none"/>
              </w:rPr>
              <w:t>时后</w:t>
            </w:r>
            <w:r>
              <w:rPr>
                <w:rFonts w:hint="eastAsia" w:ascii="宋体" w:hAnsi="宋体" w:cs="宋体"/>
                <w:color w:val="auto"/>
                <w:szCs w:val="21"/>
                <w:highlight w:val="none"/>
                <w:lang w:val="en-US" w:eastAsia="zh-CN"/>
              </w:rPr>
              <w:t>在“</w:t>
            </w:r>
            <w:r>
              <w:rPr>
                <w:rFonts w:hint="eastAsia" w:ascii="宋体" w:hAnsi="宋体" w:eastAsia="宋体" w:cs="宋体"/>
                <w:color w:val="auto"/>
                <w:kern w:val="2"/>
                <w:sz w:val="21"/>
                <w:szCs w:val="21"/>
                <w:highlight w:val="none"/>
                <w:lang w:val="en-US" w:eastAsia="zh-CN" w:bidi="ar"/>
              </w:rPr>
              <w:t>滁州市兴滁矿业投资集团有限公司</w:t>
            </w:r>
            <w:r>
              <w:rPr>
                <w:rFonts w:hint="eastAsia" w:ascii="宋体" w:hAnsi="宋体" w:cs="宋体"/>
                <w:color w:val="auto"/>
                <w:szCs w:val="21"/>
                <w:highlight w:val="none"/>
              </w:rPr>
              <w:t>”</w:t>
            </w:r>
            <w:r>
              <w:rPr>
                <w:rFonts w:hint="eastAsia" w:ascii="宋体" w:hAnsi="宋体" w:eastAsia="宋体" w:cs="宋体"/>
                <w:color w:val="auto"/>
                <w:kern w:val="2"/>
                <w:sz w:val="21"/>
                <w:szCs w:val="21"/>
                <w:highlight w:val="none"/>
                <w:lang w:val="en-US" w:eastAsia="zh-CN" w:bidi="ar"/>
              </w:rPr>
              <w:t>（http://www.xckytz.com/）</w:t>
            </w:r>
            <w:r>
              <w:rPr>
                <w:rFonts w:hint="eastAsia" w:ascii="宋体" w:hAnsi="宋体" w:cs="宋体"/>
                <w:color w:val="auto"/>
                <w:kern w:val="2"/>
                <w:sz w:val="21"/>
                <w:szCs w:val="21"/>
                <w:highlight w:val="none"/>
                <w:lang w:val="en-US" w:eastAsia="zh-CN" w:bidi="ar"/>
              </w:rPr>
              <w:t>、“</w:t>
            </w:r>
            <w:r>
              <w:rPr>
                <w:rFonts w:hint="eastAsia" w:ascii="宋体" w:hAnsi="宋体" w:cs="宋体"/>
                <w:kern w:val="2"/>
                <w:sz w:val="21"/>
                <w:szCs w:val="21"/>
                <w:highlight w:val="none"/>
                <w:lang w:val="en-US" w:eastAsia="zh-CN" w:bidi="ar"/>
              </w:rPr>
              <w:t>滁州市城投工程咨询管理有限公司</w:t>
            </w:r>
            <w:r>
              <w:rPr>
                <w:rFonts w:hint="eastAsia" w:ascii="宋体" w:hAnsi="宋体" w:cs="宋体"/>
                <w:color w:val="auto"/>
                <w:kern w:val="2"/>
                <w:sz w:val="21"/>
                <w:szCs w:val="21"/>
                <w:highlight w:val="none"/>
                <w:lang w:val="en-US" w:eastAsia="zh-CN" w:bidi="ar"/>
              </w:rPr>
              <w:t>”（https://www.czctgczx.com/）</w:t>
            </w:r>
            <w:r>
              <w:rPr>
                <w:rFonts w:hint="eastAsia" w:ascii="宋体" w:hAnsi="宋体" w:cs="宋体"/>
                <w:color w:val="auto"/>
                <w:szCs w:val="21"/>
                <w:highlight w:val="none"/>
              </w:rPr>
              <w:t>发布 ，请各位投标人注意查看有关澄清内容，如不及时查看造成后果由投标人自负。</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19"/>
              <w:keepNext w:val="0"/>
              <w:keepLines w:val="0"/>
              <w:pageBreakBefore w:val="0"/>
              <w:suppressLineNumbers w:val="0"/>
              <w:kinsoku/>
              <w:wordWrap/>
              <w:overflowPunct/>
              <w:autoSpaceDN/>
              <w:bidi w:val="0"/>
              <w:spacing w:before="0" w:beforeAutospacing="0" w:after="0" w:afterAutospacing="0" w:line="440" w:lineRule="exact"/>
              <w:ind w:left="0" w:right="0"/>
              <w:jc w:val="left"/>
              <w:textAlignment w:val="auto"/>
              <w:rPr>
                <w:rFonts w:hint="eastAsia" w:hAnsi="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rPr>
              <w:t>不允许</w:t>
            </w:r>
          </w:p>
          <w:p>
            <w:pPr>
              <w:keepNext w:val="0"/>
              <w:keepLines w:val="0"/>
              <w:pageBreakBefore w:val="0"/>
              <w:suppressLineNumbers w:val="0"/>
              <w:kinsoku/>
              <w:wordWrap/>
              <w:overflowPunct/>
              <w:autoSpaceDN/>
              <w:bidi w:val="0"/>
              <w:spacing w:before="0" w:beforeAutospacing="0" w:after="0" w:afterAutospacing="0" w:line="440" w:lineRule="exact"/>
              <w:ind w:left="0" w:right="0"/>
              <w:jc w:val="left"/>
              <w:textAlignment w:val="auto"/>
              <w:rPr>
                <w:rFonts w:hint="eastAsia"/>
                <w:color w:val="auto"/>
                <w:szCs w:val="21"/>
                <w:highlight w:val="none"/>
              </w:rPr>
            </w:pPr>
            <w:r>
              <w:rPr>
                <w:rFonts w:hint="eastAsia" w:hAnsi="宋体" w:cs="宋体"/>
                <w:color w:val="auto"/>
                <w:sz w:val="21"/>
                <w:szCs w:val="21"/>
                <w:highlight w:val="none"/>
                <w:lang w:eastAsia="zh-CN"/>
              </w:rPr>
              <w:t>□</w:t>
            </w:r>
            <w:r>
              <w:rPr>
                <w:rFonts w:hint="eastAsia" w:ascii="宋体" w:hAnsi="宋体" w:cs="宋体"/>
                <w:color w:val="auto"/>
                <w:szCs w:val="21"/>
                <w:highlight w:val="none"/>
              </w:rPr>
              <w:t>允许，分包内容要求：/</w:t>
            </w:r>
          </w:p>
          <w:p>
            <w:pPr>
              <w:keepNext w:val="0"/>
              <w:keepLines w:val="0"/>
              <w:pageBreakBefore w:val="0"/>
              <w:suppressLineNumbers w:val="0"/>
              <w:kinsoku/>
              <w:wordWrap/>
              <w:overflowPunct/>
              <w:autoSpaceDN/>
              <w:bidi w:val="0"/>
              <w:spacing w:before="0" w:beforeAutospacing="0" w:after="0" w:afterAutospacing="0" w:line="440" w:lineRule="exact"/>
              <w:ind w:left="0" w:right="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分包金额要求：/</w:t>
            </w:r>
          </w:p>
          <w:p>
            <w:pPr>
              <w:pStyle w:val="19"/>
              <w:keepNext w:val="0"/>
              <w:keepLines w:val="0"/>
              <w:pageBreakBefore w:val="0"/>
              <w:suppressLineNumbers w:val="0"/>
              <w:kinsoku/>
              <w:wordWrap/>
              <w:overflowPunct/>
              <w:autoSpaceDN/>
              <w:bidi w:val="0"/>
              <w:spacing w:before="0" w:beforeAutospacing="0" w:after="0" w:afterAutospacing="0" w:line="440" w:lineRule="exact"/>
              <w:ind w:left="0" w:right="0"/>
              <w:jc w:val="left"/>
              <w:textAlignment w:val="auto"/>
              <w:rPr>
                <w:rFonts w:hint="eastAsia"/>
                <w:color w:val="auto"/>
                <w:highlight w:val="none"/>
              </w:rPr>
            </w:pPr>
            <w:r>
              <w:rPr>
                <w:rFonts w:hint="eastAsia" w:hAnsi="宋体" w:cs="宋体"/>
                <w:color w:val="auto"/>
                <w:sz w:val="21"/>
                <w:szCs w:val="21"/>
                <w:highlight w:val="none"/>
              </w:rPr>
              <w:t>接受分包的第三人资质要求：/</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偏离</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19"/>
              <w:keepNext w:val="0"/>
              <w:keepLines w:val="0"/>
              <w:pageBreakBefore w:val="0"/>
              <w:suppressLineNumbers w:val="0"/>
              <w:kinsoku/>
              <w:wordWrap/>
              <w:overflowPunct/>
              <w:topLinePunct/>
              <w:autoSpaceDN/>
              <w:bidi w:val="0"/>
              <w:spacing w:before="0" w:beforeAutospacing="0" w:after="0" w:afterAutospacing="0" w:line="440" w:lineRule="exact"/>
              <w:ind w:left="0" w:right="0"/>
              <w:textAlignment w:val="auto"/>
              <w:rPr>
                <w:rFonts w:hint="default" w:hAnsi="宋体" w:cs="宋体"/>
                <w:color w:val="auto"/>
                <w:sz w:val="21"/>
                <w:szCs w:val="21"/>
                <w:highlight w:val="none"/>
              </w:rPr>
            </w:pPr>
            <w:r>
              <w:rPr>
                <w:rFonts w:hint="eastAsia"/>
                <w:color w:val="auto"/>
                <w:highlight w:val="none"/>
              </w:rPr>
              <w:t>☑</w:t>
            </w:r>
            <w:r>
              <w:rPr>
                <w:rFonts w:hint="eastAsia" w:hAnsi="宋体" w:cs="宋体"/>
                <w:color w:val="auto"/>
                <w:sz w:val="21"/>
                <w:szCs w:val="21"/>
                <w:highlight w:val="none"/>
              </w:rPr>
              <w:t>不允许；□允许</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17</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构成招标文件的其他材料</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szCs w:val="21"/>
                <w:highlight w:val="none"/>
              </w:rPr>
              <w:t>招标人提供的其他材料及招标澄清答疑文件</w:t>
            </w:r>
            <w:r>
              <w:rPr>
                <w:rFonts w:hint="eastAsia" w:ascii="宋体" w:hAnsi="宋体" w:cs="宋体"/>
                <w:color w:val="auto"/>
                <w:szCs w:val="21"/>
                <w:highlight w:val="none"/>
                <w:lang w:val="en-US" w:eastAsia="zh-CN"/>
              </w:rPr>
              <w:t>等</w:t>
            </w:r>
            <w:r>
              <w:rPr>
                <w:rFonts w:hint="eastAsia" w:ascii="宋体" w:hAnsi="宋体" w:cs="宋体"/>
                <w:color w:val="auto"/>
                <w:szCs w:val="21"/>
                <w:highlight w:val="none"/>
              </w:rPr>
              <w:t>。</w:t>
            </w:r>
          </w:p>
        </w:tc>
      </w:tr>
      <w:tr>
        <w:tblPrEx>
          <w:tblCellMar>
            <w:top w:w="0" w:type="dxa"/>
            <w:left w:w="108" w:type="dxa"/>
            <w:bottom w:w="0" w:type="dxa"/>
            <w:right w:w="108" w:type="dxa"/>
          </w:tblCellMar>
        </w:tblPrEx>
        <w:trPr>
          <w:trHeight w:val="404"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18</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投标人要求澄清招标文件的截止时间及方式</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szCs w:val="21"/>
                <w:highlight w:val="none"/>
              </w:rPr>
              <w:t>同本表第13条</w:t>
            </w:r>
          </w:p>
        </w:tc>
      </w:tr>
      <w:tr>
        <w:tblPrEx>
          <w:tblCellMar>
            <w:top w:w="0" w:type="dxa"/>
            <w:left w:w="108" w:type="dxa"/>
            <w:bottom w:w="0" w:type="dxa"/>
            <w:right w:w="108" w:type="dxa"/>
          </w:tblCellMar>
        </w:tblPrEx>
        <w:trPr>
          <w:trHeight w:val="404"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jc w:val="center"/>
              <w:textAlignment w:val="auto"/>
              <w:rPr>
                <w:rFonts w:hint="eastAsia" w:ascii="宋体" w:hAnsi="宋体" w:cs="宋体"/>
                <w:color w:val="auto"/>
                <w:szCs w:val="21"/>
                <w:highlight w:val="none"/>
              </w:rPr>
            </w:pPr>
            <w:r>
              <w:rPr>
                <w:rFonts w:hint="eastAsia" w:ascii="宋体" w:hAnsi="宋体" w:eastAsia="宋体" w:cs="宋体"/>
                <w:color w:val="auto"/>
                <w:sz w:val="21"/>
                <w:szCs w:val="21"/>
                <w:highlight w:val="none"/>
              </w:rPr>
              <w:t>增值税税金</w:t>
            </w:r>
          </w:p>
        </w:tc>
        <w:tc>
          <w:tcPr>
            <w:tcW w:w="7251" w:type="dxa"/>
            <w:tcBorders>
              <w:top w:val="single" w:color="auto" w:sz="4" w:space="0"/>
              <w:left w:val="single" w:color="auto" w:sz="4" w:space="0"/>
              <w:bottom w:val="single" w:color="auto" w:sz="4" w:space="0"/>
              <w:right w:val="single" w:color="auto" w:sz="4" w:space="0"/>
            </w:tcBorders>
            <w:noWrap/>
            <w:vAlign w:val="top"/>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textAlignment w:val="auto"/>
              <w:rPr>
                <w:rFonts w:hint="eastAsia" w:ascii="宋体" w:hAnsi="宋体" w:eastAsia="宋体" w:cs="宋体"/>
                <w:bCs/>
                <w:snapToGrid w:val="0"/>
                <w:color w:val="auto"/>
                <w:kern w:val="0"/>
                <w:sz w:val="21"/>
                <w:szCs w:val="21"/>
                <w:highlight w:val="none"/>
              </w:rPr>
            </w:pPr>
            <w:r>
              <w:rPr>
                <w:rFonts w:hint="eastAsia" w:ascii="宋体" w:hAnsi="宋体" w:eastAsia="宋体" w:cs="宋体"/>
                <w:bCs/>
                <w:snapToGrid w:val="0"/>
                <w:color w:val="auto"/>
                <w:kern w:val="0"/>
                <w:sz w:val="21"/>
                <w:szCs w:val="21"/>
                <w:highlight w:val="none"/>
              </w:rPr>
              <w:t>（1）计税方法：</w:t>
            </w:r>
          </w:p>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firstLine="420" w:firstLineChars="200"/>
              <w:textAlignment w:val="auto"/>
              <w:rPr>
                <w:rFonts w:hint="eastAsia" w:ascii="宋体" w:hAnsi="宋体" w:eastAsia="宋体" w:cs="宋体"/>
                <w:bCs/>
                <w:snapToGrid w:val="0"/>
                <w:color w:val="auto"/>
                <w:kern w:val="0"/>
                <w:sz w:val="21"/>
                <w:szCs w:val="21"/>
                <w:highlight w:val="none"/>
              </w:rPr>
            </w:pPr>
            <w:r>
              <w:rPr>
                <w:rFonts w:hint="eastAsia" w:ascii="宋体" w:hAnsi="宋体" w:eastAsia="宋体" w:cs="宋体"/>
                <w:bCs/>
                <w:snapToGrid w:val="0"/>
                <w:color w:val="auto"/>
                <w:kern w:val="0"/>
                <w:sz w:val="21"/>
                <w:szCs w:val="21"/>
                <w:highlight w:val="none"/>
                <w:lang w:eastAsia="zh-CN"/>
              </w:rPr>
              <w:t>☑</w:t>
            </w:r>
            <w:r>
              <w:rPr>
                <w:rFonts w:hint="eastAsia" w:ascii="宋体" w:hAnsi="宋体" w:eastAsia="宋体" w:cs="宋体"/>
                <w:bCs/>
                <w:snapToGrid w:val="0"/>
                <w:color w:val="auto"/>
                <w:kern w:val="0"/>
                <w:sz w:val="21"/>
                <w:szCs w:val="21"/>
                <w:highlight w:val="none"/>
              </w:rPr>
              <w:t>一般计税方法</w:t>
            </w:r>
          </w:p>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firstLine="420" w:firstLineChars="200"/>
              <w:textAlignment w:val="auto"/>
              <w:rPr>
                <w:rFonts w:hint="eastAsia" w:ascii="宋体" w:hAnsi="宋体" w:eastAsia="宋体" w:cs="宋体"/>
                <w:bCs/>
                <w:snapToGrid w:val="0"/>
                <w:color w:val="auto"/>
                <w:kern w:val="0"/>
                <w:sz w:val="21"/>
                <w:szCs w:val="21"/>
                <w:highlight w:val="none"/>
              </w:rPr>
            </w:pPr>
            <w:r>
              <w:rPr>
                <w:rFonts w:hint="eastAsia" w:ascii="宋体" w:hAnsi="宋体" w:eastAsia="宋体" w:cs="宋体"/>
                <w:bCs/>
                <w:snapToGrid w:val="0"/>
                <w:color w:val="auto"/>
                <w:kern w:val="0"/>
                <w:sz w:val="21"/>
                <w:szCs w:val="21"/>
                <w:highlight w:val="none"/>
              </w:rPr>
              <w:t xml:space="preserve">□简易计算方法 </w:t>
            </w:r>
          </w:p>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textAlignment w:val="auto"/>
              <w:rPr>
                <w:rFonts w:hint="eastAsia" w:ascii="宋体" w:hAnsi="宋体" w:eastAsia="宋体" w:cs="宋体"/>
                <w:bCs/>
                <w:snapToGrid w:val="0"/>
                <w:color w:val="auto"/>
                <w:kern w:val="0"/>
                <w:sz w:val="21"/>
                <w:szCs w:val="21"/>
                <w:highlight w:val="none"/>
              </w:rPr>
            </w:pPr>
            <w:r>
              <w:rPr>
                <w:rFonts w:hint="eastAsia" w:ascii="宋体" w:hAnsi="宋体" w:eastAsia="宋体" w:cs="宋体"/>
                <w:bCs/>
                <w:snapToGrid w:val="0"/>
                <w:color w:val="auto"/>
                <w:kern w:val="0"/>
                <w:sz w:val="21"/>
                <w:szCs w:val="21"/>
                <w:highlight w:val="none"/>
              </w:rPr>
              <w:t>（2）发票类型：</w:t>
            </w:r>
          </w:p>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firstLine="420" w:firstLineChars="200"/>
              <w:textAlignment w:val="auto"/>
              <w:rPr>
                <w:rFonts w:hint="eastAsia" w:ascii="宋体" w:hAnsi="宋体" w:eastAsia="宋体" w:cs="宋体"/>
                <w:bCs/>
                <w:snapToGrid w:val="0"/>
                <w:color w:val="auto"/>
                <w:kern w:val="0"/>
                <w:sz w:val="21"/>
                <w:szCs w:val="21"/>
                <w:highlight w:val="none"/>
              </w:rPr>
            </w:pPr>
            <w:r>
              <w:rPr>
                <w:rFonts w:hint="eastAsia" w:ascii="宋体" w:hAnsi="宋体" w:eastAsia="宋体" w:cs="宋体"/>
                <w:bCs/>
                <w:snapToGrid w:val="0"/>
                <w:color w:val="auto"/>
                <w:kern w:val="0"/>
                <w:sz w:val="21"/>
                <w:szCs w:val="21"/>
                <w:highlight w:val="none"/>
                <w:lang w:eastAsia="zh-CN"/>
              </w:rPr>
              <w:t>☑</w:t>
            </w:r>
            <w:r>
              <w:rPr>
                <w:rFonts w:hint="eastAsia" w:ascii="宋体" w:hAnsi="宋体" w:eastAsia="宋体" w:cs="宋体"/>
                <w:bCs/>
                <w:snapToGrid w:val="0"/>
                <w:color w:val="auto"/>
                <w:kern w:val="0"/>
                <w:sz w:val="21"/>
                <w:szCs w:val="21"/>
                <w:highlight w:val="none"/>
              </w:rPr>
              <w:t>增值税专用发票</w:t>
            </w:r>
          </w:p>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firstLine="420" w:firstLineChars="200"/>
              <w:textAlignment w:val="auto"/>
              <w:rPr>
                <w:rFonts w:hint="eastAsia" w:ascii="宋体" w:hAnsi="宋体" w:eastAsia="宋体" w:cs="宋体"/>
                <w:bCs/>
                <w:snapToGrid w:val="0"/>
                <w:color w:val="auto"/>
                <w:kern w:val="0"/>
                <w:sz w:val="21"/>
                <w:szCs w:val="21"/>
                <w:highlight w:val="none"/>
              </w:rPr>
            </w:pPr>
            <w:r>
              <w:rPr>
                <w:rFonts w:hint="eastAsia" w:ascii="宋体" w:hAnsi="宋体" w:eastAsia="宋体" w:cs="宋体"/>
                <w:bCs/>
                <w:snapToGrid w:val="0"/>
                <w:color w:val="auto"/>
                <w:kern w:val="0"/>
                <w:sz w:val="21"/>
                <w:szCs w:val="21"/>
                <w:highlight w:val="none"/>
              </w:rPr>
              <w:t>□增值税普通发票</w:t>
            </w:r>
          </w:p>
          <w:p>
            <w:pPr>
              <w:keepNext w:val="0"/>
              <w:keepLines w:val="0"/>
              <w:pageBreakBefore w:val="0"/>
              <w:numPr>
                <w:ilvl w:val="0"/>
                <w:numId w:val="1"/>
              </w:numPr>
              <w:suppressLineNumbers w:val="0"/>
              <w:kinsoku/>
              <w:wordWrap/>
              <w:overflowPunct/>
              <w:autoSpaceDN/>
              <w:bidi w:val="0"/>
              <w:adjustRightInd w:val="0"/>
              <w:snapToGrid w:val="0"/>
              <w:spacing w:before="0" w:beforeAutospacing="0" w:after="0" w:afterAutospacing="0" w:line="440" w:lineRule="exact"/>
              <w:ind w:left="0" w:right="0"/>
              <w:textAlignment w:val="auto"/>
              <w:rPr>
                <w:rFonts w:hint="eastAsia" w:ascii="宋体" w:hAnsi="宋体" w:eastAsia="宋体" w:cs="宋体"/>
                <w:bCs/>
                <w:snapToGrid w:val="0"/>
                <w:color w:val="auto"/>
                <w:kern w:val="0"/>
                <w:sz w:val="21"/>
                <w:szCs w:val="21"/>
                <w:highlight w:val="none"/>
              </w:rPr>
            </w:pPr>
            <w:r>
              <w:rPr>
                <w:rFonts w:hint="eastAsia" w:ascii="宋体" w:hAnsi="宋体" w:eastAsia="宋体" w:cs="宋体"/>
                <w:bCs/>
                <w:snapToGrid w:val="0"/>
                <w:color w:val="auto"/>
                <w:kern w:val="0"/>
                <w:sz w:val="21"/>
                <w:szCs w:val="21"/>
                <w:highlight w:val="none"/>
              </w:rPr>
              <w:t>增值税税率按照国家有关规定执行。</w:t>
            </w:r>
          </w:p>
          <w:p>
            <w:pPr>
              <w:pStyle w:val="19"/>
              <w:keepNext w:val="0"/>
              <w:keepLines w:val="0"/>
              <w:pageBreakBefore w:val="0"/>
              <w:suppressLineNumbers w:val="0"/>
              <w:kinsoku/>
              <w:wordWrap/>
              <w:overflowPunct/>
              <w:topLinePunct/>
              <w:autoSpaceDN/>
              <w:bidi w:val="0"/>
              <w:adjustRightInd w:val="0"/>
              <w:snapToGrid w:val="0"/>
              <w:spacing w:before="0" w:beforeAutospacing="0" w:after="0" w:afterAutospacing="0" w:line="440" w:lineRule="exact"/>
              <w:ind w:left="0" w:right="0" w:firstLine="525" w:firstLineChars="250"/>
              <w:textAlignment w:val="auto"/>
              <w:rPr>
                <w:rFonts w:hint="eastAsia" w:ascii="宋体" w:hAnsi="宋体" w:cs="宋体"/>
                <w:color w:val="auto"/>
                <w:szCs w:val="21"/>
                <w:highlight w:val="none"/>
              </w:rPr>
            </w:pPr>
            <w:r>
              <w:rPr>
                <w:rFonts w:hint="eastAsia" w:ascii="宋体" w:hAnsi="宋体" w:eastAsia="宋体" w:cs="宋体"/>
                <w:bCs/>
                <w:snapToGrid w:val="0"/>
                <w:color w:val="auto"/>
                <w:kern w:val="0"/>
                <w:sz w:val="21"/>
                <w:szCs w:val="21"/>
                <w:highlight w:val="none"/>
              </w:rPr>
              <w:t>其它：</w:t>
            </w:r>
            <w:r>
              <w:rPr>
                <w:rFonts w:hint="eastAsia" w:ascii="宋体" w:hAnsi="宋体" w:eastAsia="宋体" w:cs="宋体"/>
                <w:bCs/>
                <w:snapToGrid w:val="0"/>
                <w:color w:val="auto"/>
                <w:kern w:val="0"/>
                <w:sz w:val="21"/>
                <w:szCs w:val="21"/>
                <w:highlight w:val="none"/>
                <w:u w:val="single"/>
                <w:lang w:val="en-US" w:eastAsia="zh-CN"/>
              </w:rPr>
              <w:t>/</w:t>
            </w:r>
            <w:r>
              <w:rPr>
                <w:rFonts w:hint="eastAsia" w:ascii="宋体" w:hAnsi="宋体" w:eastAsia="宋体" w:cs="宋体"/>
                <w:bCs/>
                <w:snapToGrid w:val="0"/>
                <w:color w:val="auto"/>
                <w:kern w:val="0"/>
                <w:sz w:val="21"/>
                <w:szCs w:val="21"/>
                <w:highlight w:val="none"/>
              </w:rPr>
              <w:t xml:space="preserve"> 。</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20</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b/>
                <w:bCs/>
                <w:color w:val="auto"/>
                <w:sz w:val="21"/>
                <w:szCs w:val="21"/>
                <w:highlight w:val="none"/>
              </w:rPr>
              <w:t>最高限价</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textAlignment w:val="auto"/>
              <w:rPr>
                <w:rFonts w:hint="eastAsia" w:ascii="宋体" w:hAnsi="宋体" w:eastAsia="宋体" w:cs="宋体"/>
                <w:b/>
                <w:color w:val="auto"/>
                <w:szCs w:val="21"/>
                <w:highlight w:val="none"/>
                <w:u w:val="single"/>
                <w:lang w:eastAsia="zh-CN"/>
              </w:rPr>
            </w:pPr>
            <w:r>
              <w:rPr>
                <w:rFonts w:hint="eastAsia" w:ascii="宋体" w:hAnsi="宋体" w:cs="宋体"/>
                <w:color w:val="auto"/>
                <w:sz w:val="21"/>
                <w:szCs w:val="21"/>
                <w:highlight w:val="none"/>
                <w:lang w:eastAsia="zh-CN"/>
              </w:rPr>
              <w:t>公布的最高投标限价：</w:t>
            </w:r>
            <w:r>
              <w:rPr>
                <w:rFonts w:hint="eastAsia" w:ascii="宋体" w:hAnsi="宋体" w:cs="宋体"/>
                <w:color w:val="auto"/>
                <w:sz w:val="21"/>
                <w:szCs w:val="21"/>
                <w:highlight w:val="none"/>
                <w:u w:val="single"/>
                <w:lang w:eastAsia="zh-CN"/>
              </w:rPr>
              <w:t xml:space="preserve">  3876755.86  </w:t>
            </w:r>
            <w:r>
              <w:rPr>
                <w:rFonts w:hint="eastAsia" w:ascii="宋体" w:hAnsi="宋体" w:cs="宋体"/>
                <w:color w:val="auto"/>
                <w:sz w:val="21"/>
                <w:szCs w:val="21"/>
                <w:highlight w:val="none"/>
                <w:lang w:eastAsia="zh-CN"/>
              </w:rPr>
              <w:t>元（其中含暂列金额</w:t>
            </w:r>
            <w:r>
              <w:rPr>
                <w:rFonts w:hint="eastAsia" w:ascii="宋体" w:hAnsi="宋体" w:cs="宋体"/>
                <w:color w:val="auto"/>
                <w:sz w:val="21"/>
                <w:szCs w:val="21"/>
                <w:highlight w:val="none"/>
                <w:u w:val="single"/>
                <w:lang w:eastAsia="zh-CN"/>
              </w:rPr>
              <w:t xml:space="preserve">  </w:t>
            </w:r>
            <w:r>
              <w:rPr>
                <w:rFonts w:hint="eastAsia" w:ascii="宋体" w:hAnsi="宋体" w:cs="宋体"/>
                <w:color w:val="auto"/>
                <w:sz w:val="21"/>
                <w:szCs w:val="21"/>
                <w:highlight w:val="none"/>
                <w:u w:val="single"/>
                <w:lang w:val="en-US" w:eastAsia="zh-CN"/>
              </w:rPr>
              <w:t>100000</w:t>
            </w:r>
            <w:r>
              <w:rPr>
                <w:rFonts w:hint="eastAsia" w:ascii="宋体" w:hAnsi="宋体" w:cs="宋体"/>
                <w:color w:val="auto"/>
                <w:sz w:val="21"/>
                <w:szCs w:val="21"/>
                <w:highlight w:val="none"/>
                <w:u w:val="single"/>
                <w:lang w:eastAsia="zh-CN"/>
              </w:rPr>
              <w:t xml:space="preserve">   </w:t>
            </w:r>
            <w:r>
              <w:rPr>
                <w:rFonts w:hint="eastAsia" w:ascii="宋体" w:hAnsi="宋体" w:cs="宋体"/>
                <w:color w:val="auto"/>
                <w:sz w:val="21"/>
                <w:szCs w:val="21"/>
                <w:highlight w:val="none"/>
                <w:lang w:eastAsia="zh-CN"/>
              </w:rPr>
              <w:t>元）</w:t>
            </w:r>
            <w:r>
              <w:rPr>
                <w:rFonts w:hint="eastAsia" w:ascii="宋体" w:hAnsi="宋体" w:cs="宋体"/>
                <w:color w:val="auto"/>
                <w:sz w:val="21"/>
                <w:szCs w:val="21"/>
                <w:highlight w:val="none"/>
                <w:lang w:eastAsia="zh-CN"/>
              </w:rPr>
              <w:t>。应当包括总价、各单位工程的分部分项工程费、措施项目费、其他项目费、不可竞争性费用和税金，</w:t>
            </w:r>
            <w:r>
              <w:rPr>
                <w:rFonts w:hint="eastAsia" w:ascii="宋体" w:hAnsi="宋体" w:cs="宋体"/>
                <w:b/>
                <w:bCs/>
                <w:color w:val="auto"/>
                <w:sz w:val="21"/>
                <w:szCs w:val="21"/>
                <w:highlight w:val="none"/>
              </w:rPr>
              <w:t>投标人</w:t>
            </w:r>
            <w:r>
              <w:rPr>
                <w:rFonts w:hint="eastAsia" w:ascii="宋体" w:hAnsi="宋体" w:cs="宋体"/>
                <w:b/>
                <w:bCs/>
                <w:color w:val="auto"/>
                <w:sz w:val="21"/>
                <w:szCs w:val="21"/>
                <w:highlight w:val="none"/>
                <w:lang w:eastAsia="zh-CN"/>
              </w:rPr>
              <w:t>的</w:t>
            </w:r>
            <w:r>
              <w:rPr>
                <w:rFonts w:hint="eastAsia" w:ascii="宋体" w:hAnsi="宋体" w:cs="宋体"/>
                <w:b/>
                <w:bCs/>
                <w:color w:val="auto"/>
                <w:sz w:val="21"/>
                <w:szCs w:val="21"/>
                <w:highlight w:val="none"/>
              </w:rPr>
              <w:t>投标报价不得高于最高限价，否则按无效标处理。</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21</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投标有效期</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eastAsia="宋体" w:cs="宋体"/>
                <w:color w:val="auto"/>
                <w:kern w:val="0"/>
                <w:sz w:val="21"/>
                <w:szCs w:val="21"/>
                <w:highlight w:val="none"/>
              </w:rPr>
              <w:t>自投标人递交投标文件截止之日起计算</w:t>
            </w:r>
            <w:r>
              <w:rPr>
                <w:rFonts w:hint="eastAsia" w:ascii="宋体" w:hAnsi="宋体" w:eastAsia="宋体" w:cs="宋体"/>
                <w:color w:val="auto"/>
                <w:kern w:val="0"/>
                <w:sz w:val="21"/>
                <w:szCs w:val="21"/>
                <w:highlight w:val="none"/>
                <w:lang w:val="en-US" w:eastAsia="zh-CN"/>
              </w:rPr>
              <w:t>90</w:t>
            </w:r>
            <w:r>
              <w:rPr>
                <w:rFonts w:hint="eastAsia" w:ascii="宋体" w:hAnsi="宋体" w:eastAsia="宋体" w:cs="宋体"/>
                <w:color w:val="auto"/>
                <w:kern w:val="0"/>
                <w:sz w:val="21"/>
                <w:szCs w:val="21"/>
                <w:highlight w:val="none"/>
              </w:rPr>
              <w:t>日历天。在此期限内，凡符合本招标文件要求的投标文件均保持有效。</w:t>
            </w:r>
          </w:p>
        </w:tc>
      </w:tr>
      <w:tr>
        <w:tblPrEx>
          <w:tblCellMar>
            <w:top w:w="0" w:type="dxa"/>
            <w:left w:w="108" w:type="dxa"/>
            <w:bottom w:w="0" w:type="dxa"/>
            <w:right w:w="108" w:type="dxa"/>
          </w:tblCellMar>
        </w:tblPrEx>
        <w:trPr>
          <w:trHeight w:val="52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投标保证金</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szCs w:val="21"/>
                <w:highlight w:val="none"/>
              </w:rPr>
              <w:t>详见招标公告</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签字或盖章要求</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autoSpaceDN/>
              <w:bidi w:val="0"/>
              <w:spacing w:before="0" w:beforeAutospacing="0" w:after="0" w:afterAutospacing="0" w:line="440" w:lineRule="exact"/>
              <w:ind w:left="0" w:right="0"/>
              <w:jc w:val="left"/>
              <w:textAlignment w:val="auto"/>
              <w:rPr>
                <w:rFonts w:hint="eastAsia" w:ascii="宋体" w:hAnsi="宋体" w:cs="宋体"/>
                <w:b/>
                <w:color w:val="auto"/>
                <w:kern w:val="0"/>
                <w:szCs w:val="21"/>
                <w:highlight w:val="none"/>
              </w:rPr>
            </w:pPr>
            <w:r>
              <w:rPr>
                <w:rFonts w:hint="eastAsia" w:ascii="宋体" w:hAnsi="宋体" w:cs="宋体"/>
                <w:b/>
                <w:color w:val="auto"/>
                <w:kern w:val="0"/>
                <w:szCs w:val="21"/>
                <w:highlight w:val="none"/>
              </w:rPr>
              <w:t>电子投标文件须按格式文件要求签字或盖章，招标文件格式中要求“签章”部位，指签字或盖章后扫描上传。</w:t>
            </w:r>
          </w:p>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b/>
                <w:color w:val="auto"/>
                <w:kern w:val="0"/>
                <w:szCs w:val="21"/>
                <w:highlight w:val="none"/>
              </w:rPr>
              <w:t>否则经评委会一致认定按照无效投标处理。</w:t>
            </w:r>
          </w:p>
        </w:tc>
      </w:tr>
      <w:tr>
        <w:tblPrEx>
          <w:tblCellMar>
            <w:top w:w="0" w:type="dxa"/>
            <w:left w:w="108" w:type="dxa"/>
            <w:bottom w:w="0" w:type="dxa"/>
            <w:right w:w="108" w:type="dxa"/>
          </w:tblCellMar>
        </w:tblPrEx>
        <w:trPr>
          <w:trHeight w:val="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24</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投标文件份数</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autoSpaceDN/>
              <w:bidi w:val="0"/>
              <w:spacing w:before="0" w:beforeAutospacing="0" w:after="0" w:afterAutospacing="0" w:line="440" w:lineRule="exact"/>
              <w:ind w:left="0" w:right="0"/>
              <w:jc w:val="left"/>
              <w:textAlignment w:val="auto"/>
              <w:rPr>
                <w:rFonts w:hint="default"/>
                <w:color w:val="auto"/>
                <w:highlight w:val="none"/>
              </w:rPr>
            </w:pPr>
            <w:r>
              <w:rPr>
                <w:rFonts w:hint="eastAsia" w:ascii="宋体" w:hAnsi="宋体" w:cs="宋体"/>
                <w:b/>
                <w:color w:val="auto"/>
                <w:kern w:val="0"/>
                <w:szCs w:val="21"/>
                <w:highlight w:val="none"/>
              </w:rPr>
              <w:t>以电子邮件递交的电子投标文件：一份。以投标人在投标截止时间前电子邮件递交的电子投标文件为准，逾期提交的，投标文件将被拒绝。</w:t>
            </w:r>
          </w:p>
        </w:tc>
      </w:tr>
      <w:tr>
        <w:tblPrEx>
          <w:tblCellMar>
            <w:top w:w="0" w:type="dxa"/>
            <w:left w:w="108" w:type="dxa"/>
            <w:bottom w:w="0" w:type="dxa"/>
            <w:right w:w="108" w:type="dxa"/>
          </w:tblCellMar>
        </w:tblPrEx>
        <w:trPr>
          <w:trHeight w:val="0" w:hRule="atLeast"/>
          <w:jc w:val="center"/>
        </w:trPr>
        <w:tc>
          <w:tcPr>
            <w:tcW w:w="868"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default" w:ascii="宋体" w:hAnsi="宋体" w:cs="宋体"/>
                <w:color w:val="auto"/>
                <w:szCs w:val="21"/>
                <w:highlight w:val="none"/>
                <w:lang w:val="en-US"/>
              </w:rPr>
            </w:pPr>
            <w:r>
              <w:rPr>
                <w:rFonts w:hint="eastAsia" w:ascii="宋体" w:hAnsi="宋体" w:cs="宋体"/>
                <w:color w:val="auto"/>
                <w:kern w:val="2"/>
                <w:highlight w:val="none"/>
                <w:lang w:val="en-US" w:eastAsia="zh-CN"/>
              </w:rPr>
              <w:t>25</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jc w:val="center"/>
              <w:textAlignment w:val="auto"/>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投标截止时间</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19" w:firstLineChars="9"/>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2024年</w:t>
            </w:r>
            <w:r>
              <w:rPr>
                <w:rFonts w:hint="eastAsia" w:ascii="宋体" w:hAnsi="宋体" w:cs="宋体"/>
                <w:b/>
                <w:bCs/>
                <w:color w:val="auto"/>
                <w:sz w:val="21"/>
                <w:szCs w:val="21"/>
                <w:highlight w:val="none"/>
                <w:lang w:val="en-US" w:eastAsia="zh-CN"/>
              </w:rPr>
              <w:t>9</w:t>
            </w:r>
            <w:r>
              <w:rPr>
                <w:rFonts w:hint="eastAsia" w:ascii="宋体" w:hAnsi="宋体" w:eastAsia="宋体" w:cs="宋体"/>
                <w:b/>
                <w:bCs/>
                <w:color w:val="auto"/>
                <w:sz w:val="21"/>
                <w:szCs w:val="21"/>
                <w:highlight w:val="none"/>
                <w:lang w:val="en-US" w:eastAsia="zh-CN"/>
              </w:rPr>
              <w:t>月</w:t>
            </w:r>
            <w:r>
              <w:rPr>
                <w:rFonts w:hint="eastAsia" w:ascii="宋体" w:hAnsi="宋体" w:cs="宋体"/>
                <w:b/>
                <w:bCs/>
                <w:color w:val="auto"/>
                <w:sz w:val="21"/>
                <w:szCs w:val="21"/>
                <w:highlight w:val="none"/>
                <w:lang w:val="en-US" w:eastAsia="zh-CN"/>
              </w:rPr>
              <w:t>11</w:t>
            </w:r>
            <w:r>
              <w:rPr>
                <w:rFonts w:hint="eastAsia" w:ascii="宋体" w:hAnsi="宋体" w:eastAsia="宋体" w:cs="宋体"/>
                <w:b/>
                <w:bCs/>
                <w:color w:val="auto"/>
                <w:sz w:val="21"/>
                <w:szCs w:val="21"/>
                <w:highlight w:val="none"/>
                <w:lang w:val="en-US" w:eastAsia="zh-CN"/>
              </w:rPr>
              <w:t>日</w:t>
            </w:r>
            <w:r>
              <w:rPr>
                <w:rFonts w:hint="eastAsia" w:ascii="宋体" w:hAnsi="宋体" w:cs="宋体"/>
                <w:b/>
                <w:bCs/>
                <w:color w:val="auto"/>
                <w:sz w:val="21"/>
                <w:szCs w:val="21"/>
                <w:highlight w:val="none"/>
                <w:lang w:val="en-US" w:eastAsia="zh-CN"/>
              </w:rPr>
              <w:t>9</w:t>
            </w:r>
            <w:r>
              <w:rPr>
                <w:rFonts w:hint="eastAsia" w:ascii="宋体" w:hAnsi="宋体" w:eastAsia="宋体" w:cs="宋体"/>
                <w:b/>
                <w:bCs/>
                <w:color w:val="auto"/>
                <w:sz w:val="21"/>
                <w:szCs w:val="21"/>
                <w:highlight w:val="none"/>
                <w:lang w:val="en-US" w:eastAsia="zh-CN"/>
              </w:rPr>
              <w:t>时00分（北京时间）</w:t>
            </w:r>
          </w:p>
        </w:tc>
      </w:tr>
      <w:tr>
        <w:tblPrEx>
          <w:tblCellMar>
            <w:top w:w="0" w:type="dxa"/>
            <w:left w:w="108" w:type="dxa"/>
            <w:bottom w:w="0" w:type="dxa"/>
            <w:right w:w="108" w:type="dxa"/>
          </w:tblCellMar>
        </w:tblPrEx>
        <w:trPr>
          <w:trHeight w:val="0" w:hRule="atLeast"/>
          <w:jc w:val="center"/>
        </w:trPr>
        <w:tc>
          <w:tcPr>
            <w:tcW w:w="868"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eastAsia" w:ascii="宋体" w:hAnsi="宋体" w:cs="宋体"/>
                <w:color w:val="auto"/>
                <w:kern w:val="2"/>
                <w:highlight w:val="none"/>
                <w:lang w:val="en-US" w:eastAsia="zh-CN"/>
              </w:rPr>
            </w:pP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jc w:val="center"/>
              <w:textAlignment w:val="auto"/>
              <w:rPr>
                <w:rFonts w:hint="eastAsia" w:ascii="宋体"/>
                <w:color w:val="auto"/>
                <w:sz w:val="21"/>
                <w:szCs w:val="21"/>
                <w:highlight w:val="none"/>
              </w:rPr>
            </w:pPr>
            <w:r>
              <w:rPr>
                <w:rFonts w:hint="eastAsia" w:ascii="宋体"/>
                <w:color w:val="auto"/>
                <w:sz w:val="21"/>
                <w:szCs w:val="21"/>
                <w:highlight w:val="none"/>
              </w:rPr>
              <w:t>投标文件</w:t>
            </w:r>
            <w:r>
              <w:rPr>
                <w:rFonts w:hint="eastAsia" w:ascii="宋体"/>
                <w:color w:val="auto"/>
                <w:sz w:val="21"/>
                <w:szCs w:val="21"/>
                <w:highlight w:val="none"/>
                <w:lang w:val="en-US" w:eastAsia="zh-CN"/>
              </w:rPr>
              <w:t>的提交</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left"/>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1、本项目的投标人无需到达开标现场，投标文件采用加密电子文件（压缩包）在投标截止时间前通过邮箱发送至代理机构邮箱（</w:t>
            </w:r>
            <w:r>
              <w:rPr>
                <w:rFonts w:hint="eastAsia" w:ascii="宋体" w:hAnsi="宋体" w:cs="宋体"/>
                <w:b/>
                <w:bCs/>
                <w:color w:val="auto"/>
                <w:szCs w:val="21"/>
                <w:highlight w:val="none"/>
                <w:lang w:eastAsia="zh-CN"/>
              </w:rPr>
              <w:t>czsctgczx@163.com</w:t>
            </w:r>
            <w:r>
              <w:rPr>
                <w:rFonts w:hint="eastAsia" w:ascii="宋体" w:hAnsi="宋体" w:cs="宋体"/>
                <w:b/>
                <w:bCs/>
                <w:color w:val="auto"/>
                <w:szCs w:val="21"/>
                <w:highlight w:val="none"/>
              </w:rPr>
              <w:t>），命名为“公司名称+项目名称+联系人+联系电话”。未在规定时间内发送PDF格式投标文件的，投标文件将被拒绝，投标文件送达时间以邮箱显示的邮件送达时间为准，若投标单位重复发送电子投标文件的，将以投标截止时间前最后收到的投标文件为准,投标文件无法打开的，由投标人自行承担后果。</w:t>
            </w:r>
          </w:p>
          <w:p>
            <w:pPr>
              <w:keepNext w:val="0"/>
              <w:keepLines w:val="0"/>
              <w:pageBreakBefore w:val="0"/>
              <w:suppressLineNumbers w:val="0"/>
              <w:kinsoku/>
              <w:wordWrap/>
              <w:overflowPunct/>
              <w:autoSpaceDN/>
              <w:bidi w:val="0"/>
              <w:spacing w:before="0" w:beforeAutospacing="0" w:after="0" w:afterAutospacing="0" w:line="440" w:lineRule="exact"/>
              <w:ind w:left="0" w:right="0"/>
              <w:jc w:val="left"/>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2、各投标人须在投标截止时间后10分钟内，将投标文件解压密码通过邮箱发送至代理机构邮箱（</w:t>
            </w:r>
            <w:r>
              <w:rPr>
                <w:rFonts w:hint="eastAsia" w:ascii="宋体" w:hAnsi="宋体" w:cs="宋体"/>
                <w:b/>
                <w:bCs/>
                <w:color w:val="auto"/>
                <w:szCs w:val="21"/>
                <w:highlight w:val="none"/>
                <w:lang w:eastAsia="zh-CN"/>
              </w:rPr>
              <w:t>czsctgczx@163.com</w:t>
            </w:r>
            <w:r>
              <w:rPr>
                <w:rFonts w:hint="eastAsia" w:ascii="宋体" w:hAnsi="宋体" w:cs="宋体"/>
                <w:b/>
                <w:bCs/>
                <w:color w:val="auto"/>
                <w:szCs w:val="21"/>
                <w:highlight w:val="none"/>
              </w:rPr>
              <w:t>）。逾期发送或未发送或发送材料无法识别的，投标将被拒绝。</w:t>
            </w:r>
          </w:p>
          <w:p>
            <w:pPr>
              <w:keepNext w:val="0"/>
              <w:keepLines w:val="0"/>
              <w:pageBreakBefore w:val="0"/>
              <w:suppressLineNumbers w:val="0"/>
              <w:kinsoku/>
              <w:wordWrap/>
              <w:overflowPunct/>
              <w:autoSpaceDN/>
              <w:bidi w:val="0"/>
              <w:spacing w:before="0" w:beforeAutospacing="0" w:after="0" w:afterAutospacing="0" w:line="440" w:lineRule="exact"/>
              <w:ind w:left="0" w:right="0"/>
              <w:jc w:val="left"/>
              <w:textAlignment w:val="auto"/>
              <w:rPr>
                <w:rFonts w:hint="eastAsia" w:ascii="宋体" w:hAnsi="宋体" w:eastAsia="宋体" w:cs="宋体"/>
                <w:b/>
                <w:bCs/>
                <w:color w:val="auto"/>
                <w:szCs w:val="21"/>
                <w:highlight w:val="none"/>
                <w:u w:val="none"/>
              </w:rPr>
            </w:pPr>
            <w:r>
              <w:rPr>
                <w:rFonts w:hint="eastAsia" w:ascii="宋体" w:hAnsi="宋体" w:cs="宋体"/>
                <w:b/>
                <w:bCs/>
                <w:color w:val="auto"/>
                <w:szCs w:val="21"/>
                <w:highlight w:val="none"/>
              </w:rPr>
              <w:t>注：发送解压密码的邮箱应与加密电子投标文件一致。</w:t>
            </w:r>
          </w:p>
        </w:tc>
      </w:tr>
      <w:tr>
        <w:tblPrEx>
          <w:tblCellMar>
            <w:top w:w="0" w:type="dxa"/>
            <w:left w:w="108" w:type="dxa"/>
            <w:bottom w:w="0" w:type="dxa"/>
            <w:right w:w="108" w:type="dxa"/>
          </w:tblCellMar>
        </w:tblPrEx>
        <w:trPr>
          <w:trHeight w:val="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default" w:ascii="宋体" w:hAnsi="宋体" w:eastAsia="宋体" w:cs="宋体"/>
                <w:color w:val="auto"/>
                <w:kern w:val="2"/>
                <w:highlight w:val="none"/>
                <w:lang w:val="en-US" w:eastAsia="zh-CN"/>
              </w:rPr>
            </w:pPr>
            <w:r>
              <w:rPr>
                <w:rFonts w:hint="eastAsia" w:ascii="宋体" w:hAnsi="宋体" w:cs="宋体"/>
                <w:color w:val="auto"/>
                <w:kern w:val="2"/>
                <w:highlight w:val="none"/>
                <w:lang w:val="en-US" w:eastAsia="zh-CN"/>
              </w:rPr>
              <w:t>26</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eastAsia" w:ascii="宋体" w:hAnsi="宋体" w:eastAsia="宋体" w:cs="宋体"/>
                <w:color w:val="auto"/>
                <w:kern w:val="2"/>
                <w:sz w:val="21"/>
                <w:szCs w:val="21"/>
                <w:highlight w:val="none"/>
                <w:u w:color="000000"/>
                <w:lang w:val="en-US" w:eastAsia="zh-CN" w:bidi="ar"/>
              </w:rPr>
            </w:pPr>
            <w:r>
              <w:rPr>
                <w:rFonts w:hint="eastAsia" w:ascii="宋体" w:hAnsi="宋体" w:eastAsia="宋体" w:cs="宋体"/>
                <w:color w:val="auto"/>
                <w:kern w:val="2"/>
                <w:sz w:val="21"/>
                <w:szCs w:val="21"/>
                <w:highlight w:val="none"/>
                <w:u w:color="000000"/>
                <w:lang w:val="en-US" w:eastAsia="zh-CN" w:bidi="ar"/>
              </w:rPr>
              <w:t>是否允许递交备选投标方案</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left"/>
              <w:textAlignment w:val="auto"/>
              <w:rPr>
                <w:rFonts w:hint="eastAsia" w:ascii="宋体" w:hAnsi="宋体" w:eastAsia="宋体" w:cs="宋体"/>
                <w:color w:val="auto"/>
                <w:kern w:val="2"/>
                <w:sz w:val="21"/>
                <w:szCs w:val="21"/>
                <w:highlight w:val="none"/>
                <w:u w:color="000000"/>
                <w:lang w:val="en-US" w:eastAsia="zh-CN" w:bidi="ar"/>
              </w:rPr>
            </w:pPr>
            <w:r>
              <w:rPr>
                <w:rFonts w:hint="eastAsia" w:ascii="宋体" w:hAnsi="宋体" w:eastAsia="宋体" w:cs="宋体"/>
                <w:color w:val="auto"/>
                <w:kern w:val="2"/>
                <w:sz w:val="21"/>
                <w:szCs w:val="21"/>
                <w:highlight w:val="none"/>
                <w:u w:color="000000"/>
                <w:lang w:val="en-US" w:eastAsia="zh-CN" w:bidi="ar"/>
              </w:rPr>
              <w:t>☑不允许；</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left"/>
              <w:textAlignment w:val="auto"/>
              <w:rPr>
                <w:rFonts w:hint="eastAsia" w:ascii="宋体" w:hAnsi="宋体" w:eastAsia="宋体" w:cs="宋体"/>
                <w:color w:val="auto"/>
                <w:kern w:val="2"/>
                <w:sz w:val="21"/>
                <w:szCs w:val="21"/>
                <w:highlight w:val="none"/>
                <w:u w:color="000000"/>
                <w:lang w:val="en-US" w:eastAsia="zh-CN" w:bidi="ar"/>
              </w:rPr>
            </w:pPr>
            <w:r>
              <w:rPr>
                <w:rFonts w:hint="eastAsia" w:ascii="宋体" w:hAnsi="宋体" w:eastAsia="宋体" w:cs="宋体"/>
                <w:color w:val="auto"/>
                <w:kern w:val="2"/>
                <w:sz w:val="21"/>
                <w:szCs w:val="21"/>
                <w:highlight w:val="none"/>
                <w:u w:color="000000"/>
                <w:lang w:val="en-US" w:eastAsia="zh-CN" w:bidi="ar"/>
              </w:rPr>
              <w:t>□允许：/</w:t>
            </w:r>
          </w:p>
        </w:tc>
      </w:tr>
      <w:tr>
        <w:tblPrEx>
          <w:tblCellMar>
            <w:top w:w="0" w:type="dxa"/>
            <w:left w:w="108" w:type="dxa"/>
            <w:bottom w:w="0" w:type="dxa"/>
            <w:right w:w="108" w:type="dxa"/>
          </w:tblCellMar>
        </w:tblPrEx>
        <w:trPr>
          <w:trHeight w:val="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default" w:ascii="宋体" w:hAnsi="宋体" w:cs="宋体"/>
                <w:color w:val="auto"/>
                <w:szCs w:val="21"/>
                <w:highlight w:val="none"/>
                <w:lang w:val="en-US"/>
              </w:rPr>
            </w:pPr>
            <w:r>
              <w:rPr>
                <w:rFonts w:hint="eastAsia" w:ascii="宋体" w:hAnsi="宋体" w:eastAsia="宋体" w:cs="宋体"/>
                <w:color w:val="auto"/>
                <w:kern w:val="2"/>
                <w:highlight w:val="none"/>
                <w:lang w:val="en-US" w:eastAsia="zh-CN"/>
              </w:rPr>
              <w:t>2</w:t>
            </w:r>
            <w:r>
              <w:rPr>
                <w:rFonts w:hint="eastAsia" w:ascii="宋体" w:hAnsi="宋体" w:cs="宋体"/>
                <w:color w:val="auto"/>
                <w:kern w:val="2"/>
                <w:highlight w:val="none"/>
                <w:lang w:val="en-US" w:eastAsia="zh-CN"/>
              </w:rPr>
              <w:t>7</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eastAsia" w:ascii="宋体" w:hAnsi="宋体" w:cs="宋体"/>
                <w:color w:val="auto"/>
                <w:szCs w:val="21"/>
                <w:highlight w:val="none"/>
              </w:rPr>
            </w:pPr>
            <w:r>
              <w:rPr>
                <w:rFonts w:hint="eastAsia" w:ascii="宋体" w:hAnsi="宋体" w:eastAsia="宋体" w:cs="宋体"/>
                <w:color w:val="auto"/>
                <w:kern w:val="2"/>
                <w:sz w:val="21"/>
                <w:szCs w:val="21"/>
                <w:highlight w:val="none"/>
                <w:u w:color="000000"/>
                <w:lang w:val="en-US" w:eastAsia="zh-CN" w:bidi="ar"/>
              </w:rPr>
              <w:t>是否退还投标文件</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u w:color="000000"/>
                <w:lang w:val="en-US" w:eastAsia="zh-CN" w:bidi="ar"/>
              </w:rPr>
              <w:t>否</w:t>
            </w:r>
          </w:p>
        </w:tc>
      </w:tr>
      <w:tr>
        <w:tblPrEx>
          <w:tblCellMar>
            <w:top w:w="0" w:type="dxa"/>
            <w:left w:w="108" w:type="dxa"/>
            <w:bottom w:w="0" w:type="dxa"/>
            <w:right w:w="108" w:type="dxa"/>
          </w:tblCellMar>
        </w:tblPrEx>
        <w:trPr>
          <w:trHeight w:val="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eastAsia" w:ascii="宋体" w:hAnsi="宋体" w:cs="宋体"/>
                <w:color w:val="auto"/>
                <w:szCs w:val="21"/>
                <w:highlight w:val="none"/>
              </w:rPr>
            </w:pPr>
            <w:r>
              <w:rPr>
                <w:rFonts w:hint="eastAsia" w:ascii="宋体" w:hAnsi="宋体" w:eastAsia="宋体" w:cs="宋体"/>
                <w:color w:val="auto"/>
                <w:kern w:val="2"/>
                <w:highlight w:val="none"/>
                <w:lang w:val="en-US" w:eastAsia="zh-CN"/>
              </w:rPr>
              <w:t>2</w:t>
            </w:r>
            <w:r>
              <w:rPr>
                <w:rFonts w:hint="eastAsia" w:ascii="宋体" w:hAnsi="宋体" w:cs="宋体"/>
                <w:color w:val="auto"/>
                <w:kern w:val="2"/>
                <w:highlight w:val="none"/>
                <w:lang w:val="en-US" w:eastAsia="zh-CN"/>
              </w:rPr>
              <w:t>8</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eastAsia" w:ascii="宋体" w:hAnsi="宋体" w:cs="宋体"/>
                <w:color w:val="auto"/>
                <w:szCs w:val="21"/>
                <w:highlight w:val="none"/>
              </w:rPr>
            </w:pPr>
            <w:r>
              <w:rPr>
                <w:rFonts w:hint="eastAsia" w:ascii="宋体" w:hAnsi="宋体" w:eastAsia="宋体" w:cs="宋体"/>
                <w:color w:val="auto"/>
                <w:kern w:val="2"/>
                <w:sz w:val="21"/>
                <w:szCs w:val="21"/>
                <w:highlight w:val="none"/>
                <w:u w:color="000000"/>
                <w:lang w:val="en-US" w:eastAsia="zh-CN" w:bidi="ar"/>
              </w:rPr>
              <w:t>开标时间及地点</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both"/>
              <w:textAlignment w:val="auto"/>
              <w:rPr>
                <w:rFonts w:hint="eastAsia" w:ascii="宋体" w:hAnsi="宋体" w:eastAsia="宋体" w:cs="宋体"/>
                <w:color w:val="auto"/>
                <w:kern w:val="2"/>
                <w:sz w:val="21"/>
                <w:szCs w:val="21"/>
                <w:highlight w:val="none"/>
                <w:u w:color="000000"/>
                <w:lang w:val="en-US" w:eastAsia="zh-CN" w:bidi="ar"/>
              </w:rPr>
            </w:pPr>
            <w:r>
              <w:rPr>
                <w:rFonts w:hint="eastAsia" w:ascii="宋体" w:hAnsi="宋体" w:eastAsia="宋体" w:cs="宋体"/>
                <w:color w:val="auto"/>
                <w:kern w:val="2"/>
                <w:sz w:val="21"/>
                <w:szCs w:val="21"/>
                <w:highlight w:val="none"/>
                <w:u w:color="000000"/>
                <w:lang w:val="en-US" w:eastAsia="zh-CN" w:bidi="ar"/>
              </w:rPr>
              <w:t>开标时间：同投标截止时间</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u w:color="000000"/>
                <w:lang w:val="en-US" w:eastAsia="zh-CN" w:bidi="ar"/>
              </w:rPr>
              <w:t>开标地点：</w:t>
            </w:r>
            <w:r>
              <w:rPr>
                <w:rFonts w:hint="eastAsia" w:ascii="宋体" w:hAnsi="宋体" w:eastAsia="宋体" w:cs="宋体"/>
                <w:color w:val="auto"/>
                <w:szCs w:val="21"/>
                <w:highlight w:val="none"/>
                <w:lang w:val="en-US" w:eastAsia="zh-CN"/>
              </w:rPr>
              <w:t>滁州市城投工程咨询管理有限公司6</w:t>
            </w:r>
            <w:r>
              <w:rPr>
                <w:rFonts w:hint="eastAsia" w:ascii="宋体" w:hAnsi="宋体" w:cs="宋体"/>
                <w:color w:val="auto"/>
                <w:szCs w:val="21"/>
                <w:highlight w:val="none"/>
                <w:lang w:val="en-US" w:eastAsia="zh-CN"/>
              </w:rPr>
              <w:t>22</w:t>
            </w:r>
            <w:r>
              <w:rPr>
                <w:rFonts w:hint="eastAsia" w:ascii="宋体" w:hAnsi="宋体" w:eastAsia="宋体" w:cs="宋体"/>
                <w:color w:val="auto"/>
                <w:szCs w:val="21"/>
                <w:highlight w:val="none"/>
                <w:lang w:val="en-US" w:eastAsia="zh-CN"/>
              </w:rPr>
              <w:t>会议室(滁州市龙蟠大道109号房产大厦六楼)</w:t>
            </w:r>
          </w:p>
        </w:tc>
      </w:tr>
      <w:tr>
        <w:tblPrEx>
          <w:tblCellMar>
            <w:top w:w="0" w:type="dxa"/>
            <w:left w:w="108" w:type="dxa"/>
            <w:bottom w:w="0" w:type="dxa"/>
            <w:right w:w="108" w:type="dxa"/>
          </w:tblCellMar>
        </w:tblPrEx>
        <w:trPr>
          <w:trHeight w:val="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default" w:ascii="宋体" w:hAnsi="宋体" w:cs="宋体"/>
                <w:color w:val="auto"/>
                <w:szCs w:val="21"/>
                <w:highlight w:val="none"/>
                <w:lang w:val="en-US"/>
              </w:rPr>
            </w:pPr>
            <w:r>
              <w:rPr>
                <w:rFonts w:hint="eastAsia" w:ascii="宋体" w:hAnsi="宋体" w:cs="宋体"/>
                <w:color w:val="auto"/>
                <w:kern w:val="2"/>
                <w:highlight w:val="none"/>
                <w:lang w:val="en-US" w:eastAsia="zh-CN"/>
              </w:rPr>
              <w:t>29</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eastAsia" w:ascii="宋体" w:hAnsi="宋体" w:cs="宋体"/>
                <w:color w:val="auto"/>
                <w:szCs w:val="21"/>
                <w:highlight w:val="none"/>
              </w:rPr>
            </w:pPr>
            <w:r>
              <w:rPr>
                <w:rFonts w:hint="eastAsia" w:ascii="宋体" w:hAnsi="宋体" w:eastAsia="宋体" w:cs="宋体"/>
                <w:color w:val="auto"/>
                <w:kern w:val="2"/>
                <w:sz w:val="21"/>
                <w:szCs w:val="21"/>
                <w:highlight w:val="none"/>
                <w:u w:color="000000"/>
                <w:lang w:val="en-US" w:eastAsia="zh-CN" w:bidi="ar"/>
              </w:rPr>
              <w:t>开标程序</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由代理机构开启电子投标文件，报评标委员会评审。</w:t>
            </w:r>
          </w:p>
        </w:tc>
      </w:tr>
      <w:tr>
        <w:tblPrEx>
          <w:tblCellMar>
            <w:top w:w="0" w:type="dxa"/>
            <w:left w:w="108" w:type="dxa"/>
            <w:bottom w:w="0" w:type="dxa"/>
            <w:right w:w="108" w:type="dxa"/>
          </w:tblCellMar>
        </w:tblPrEx>
        <w:trPr>
          <w:trHeight w:val="488"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评标委员会的组建</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E/>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eastAsia="宋体" w:cs="宋体"/>
                <w:color w:val="auto"/>
                <w:kern w:val="2"/>
                <w:sz w:val="21"/>
                <w:szCs w:val="21"/>
                <w:highlight w:val="none"/>
                <w:u w:color="000000"/>
                <w:lang w:val="en-US" w:eastAsia="zh-CN" w:bidi="ar"/>
              </w:rPr>
              <w:t>评标委员会由招标人依法组建。</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b/>
                <w:bCs/>
                <w:color w:val="auto"/>
                <w:szCs w:val="21"/>
                <w:highlight w:val="none"/>
                <w:lang w:val="en-US" w:eastAsia="zh-CN"/>
              </w:rPr>
            </w:pPr>
            <w:r>
              <w:rPr>
                <w:rFonts w:hint="eastAsia" w:ascii="宋体" w:hAnsi="宋体" w:cs="宋体"/>
                <w:color w:val="auto"/>
                <w:szCs w:val="21"/>
                <w:highlight w:val="none"/>
                <w:lang w:val="en-US" w:eastAsia="zh-CN"/>
              </w:rPr>
              <w:t>31</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jc w:val="center"/>
              <w:textAlignment w:val="auto"/>
              <w:rPr>
                <w:rFonts w:hint="default" w:ascii="宋体" w:hAnsi="宋体" w:cs="宋体"/>
                <w:bCs/>
                <w:color w:val="auto"/>
                <w:szCs w:val="21"/>
                <w:highlight w:val="none"/>
              </w:rPr>
            </w:pPr>
            <w:r>
              <w:rPr>
                <w:rFonts w:hint="eastAsia" w:ascii="宋体" w:hAnsi="宋体" w:eastAsia="宋体" w:cs="宋体"/>
                <w:b w:val="0"/>
                <w:bCs w:val="0"/>
                <w:color w:val="auto"/>
                <w:sz w:val="21"/>
                <w:szCs w:val="21"/>
                <w:highlight w:val="none"/>
              </w:rPr>
              <w:t>评标委员会确定中标候选人的人数</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rPr>
                <w:rFonts w:hint="default" w:ascii="宋体" w:hAnsi="宋体" w:cs="宋体"/>
                <w:bCs/>
                <w:color w:val="auto"/>
                <w:szCs w:val="21"/>
                <w:highlight w:val="none"/>
              </w:rPr>
            </w:pPr>
            <w:r>
              <w:rPr>
                <w:rFonts w:hint="eastAsia" w:ascii="宋体"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名，并标明排序。</w:t>
            </w:r>
          </w:p>
        </w:tc>
      </w:tr>
      <w:tr>
        <w:tblPrEx>
          <w:tblCellMar>
            <w:top w:w="0" w:type="dxa"/>
            <w:left w:w="108" w:type="dxa"/>
            <w:bottom w:w="0" w:type="dxa"/>
            <w:right w:w="108" w:type="dxa"/>
          </w:tblCellMar>
        </w:tblPrEx>
        <w:trPr>
          <w:trHeight w:val="500" w:hRule="atLeast"/>
          <w:jc w:val="center"/>
        </w:trPr>
        <w:tc>
          <w:tcPr>
            <w:tcW w:w="868" w:type="dxa"/>
            <w:tcBorders>
              <w:top w:val="single" w:color="auto" w:sz="4" w:space="0"/>
              <w:left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32</w:t>
            </w:r>
          </w:p>
        </w:tc>
        <w:tc>
          <w:tcPr>
            <w:tcW w:w="2209" w:type="dxa"/>
            <w:gridSpan w:val="2"/>
            <w:tcBorders>
              <w:top w:val="single" w:color="auto" w:sz="4" w:space="0"/>
              <w:left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中标公示媒介</w:t>
            </w:r>
          </w:p>
        </w:tc>
        <w:tc>
          <w:tcPr>
            <w:tcW w:w="7251" w:type="dxa"/>
            <w:tcBorders>
              <w:top w:val="single" w:color="auto" w:sz="4" w:space="0"/>
              <w:left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公示媒介：同招标公告发布媒介</w:t>
            </w:r>
          </w:p>
          <w:p>
            <w:pPr>
              <w:keepNext w:val="0"/>
              <w:keepLines w:val="0"/>
              <w:pageBreakBefore w:val="0"/>
              <w:suppressLineNumbers w:val="0"/>
              <w:kinsoku/>
              <w:wordWrap/>
              <w:overflowPunct/>
              <w:autoSpaceDE/>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eastAsia="宋体" w:cs="宋体"/>
                <w:b w:val="0"/>
                <w:bCs w:val="0"/>
                <w:color w:val="auto"/>
                <w:sz w:val="21"/>
                <w:szCs w:val="21"/>
                <w:highlight w:val="none"/>
              </w:rPr>
              <w:t>公示期限：公示发布次日起3日（如公示第三日为休息日或节假日，则顺延至休息日或节假日后第一个工作日）</w:t>
            </w:r>
          </w:p>
        </w:tc>
      </w:tr>
      <w:tr>
        <w:tblPrEx>
          <w:tblCellMar>
            <w:top w:w="0" w:type="dxa"/>
            <w:left w:w="108" w:type="dxa"/>
            <w:bottom w:w="0" w:type="dxa"/>
            <w:right w:w="108" w:type="dxa"/>
          </w:tblCellMar>
        </w:tblPrEx>
        <w:trPr>
          <w:trHeight w:val="500" w:hRule="atLeast"/>
          <w:jc w:val="center"/>
        </w:trPr>
        <w:tc>
          <w:tcPr>
            <w:tcW w:w="868" w:type="dxa"/>
            <w:tcBorders>
              <w:top w:val="single" w:color="auto" w:sz="4" w:space="0"/>
              <w:left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33</w:t>
            </w:r>
          </w:p>
        </w:tc>
        <w:tc>
          <w:tcPr>
            <w:tcW w:w="2209" w:type="dxa"/>
            <w:gridSpan w:val="2"/>
            <w:tcBorders>
              <w:top w:val="single" w:color="auto" w:sz="4" w:space="0"/>
              <w:left w:val="single" w:color="auto" w:sz="4" w:space="0"/>
              <w:right w:val="single" w:color="auto" w:sz="4" w:space="0"/>
            </w:tcBorders>
            <w:noWrap/>
            <w:vAlign w:val="center"/>
          </w:tcPr>
          <w:p>
            <w:pPr>
              <w:keepNext w:val="0"/>
              <w:keepLines w:val="0"/>
              <w:pageBreakBefore w:val="0"/>
              <w:suppressLineNumbers w:val="0"/>
              <w:kinsoku/>
              <w:wordWrap/>
              <w:overflowPunct/>
              <w:autoSpaceDE/>
              <w:autoSpaceDN/>
              <w:bidi w:val="0"/>
              <w:adjustRightInd w:val="0"/>
              <w:snapToGrid w:val="0"/>
              <w:spacing w:before="0" w:beforeAutospacing="0" w:after="0" w:afterAutospacing="0" w:line="440" w:lineRule="exact"/>
              <w:ind w:left="0" w:right="0"/>
              <w:textAlignment w:val="auto"/>
              <w:rPr>
                <w:rFonts w:hint="eastAsia" w:ascii="宋体" w:hAnsi="宋体" w:eastAsia="宋体" w:cs="宋体"/>
                <w:color w:val="auto"/>
                <w:kern w:val="2"/>
                <w:sz w:val="21"/>
                <w:szCs w:val="21"/>
                <w:highlight w:val="none"/>
                <w:lang w:val="en-US" w:eastAsia="zh-CN" w:bidi="ar-SA"/>
              </w:rPr>
            </w:pPr>
            <w:r>
              <w:rPr>
                <w:rFonts w:hint="eastAsia"/>
                <w:color w:val="auto"/>
                <w:sz w:val="21"/>
                <w:szCs w:val="21"/>
                <w:highlight w:val="none"/>
              </w:rPr>
              <w:t>中标通知书发出形式</w:t>
            </w:r>
          </w:p>
        </w:tc>
        <w:tc>
          <w:tcPr>
            <w:tcW w:w="7251" w:type="dxa"/>
            <w:tcBorders>
              <w:top w:val="single" w:color="auto" w:sz="4" w:space="0"/>
              <w:left w:val="single" w:color="auto" w:sz="4" w:space="0"/>
              <w:right w:val="single" w:color="auto" w:sz="4" w:space="0"/>
            </w:tcBorders>
            <w:noWrap/>
            <w:vAlign w:val="center"/>
          </w:tcPr>
          <w:p>
            <w:pPr>
              <w:keepNext w:val="0"/>
              <w:keepLines w:val="0"/>
              <w:pageBreakBefore w:val="0"/>
              <w:widowControl/>
              <w:suppressLineNumbers w:val="0"/>
              <w:kinsoku/>
              <w:wordWrap/>
              <w:overflowPunct/>
              <w:autoSpaceDE/>
              <w:autoSpaceDN/>
              <w:bidi w:val="0"/>
              <w:adjustRightInd w:val="0"/>
              <w:snapToGrid w:val="0"/>
              <w:spacing w:before="0" w:beforeAutospacing="0" w:after="0" w:afterAutospacing="0" w:line="440" w:lineRule="exact"/>
              <w:ind w:left="0" w:right="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u w:color="000000"/>
                <w:lang w:val="en-US" w:eastAsia="zh-CN" w:bidi="ar"/>
              </w:rPr>
              <w:t>中标通知书须加盖招标人、招标代理公司公章后方可发出。</w:t>
            </w:r>
          </w:p>
        </w:tc>
      </w:tr>
      <w:tr>
        <w:tblPrEx>
          <w:tblCellMar>
            <w:top w:w="0" w:type="dxa"/>
            <w:left w:w="108" w:type="dxa"/>
            <w:bottom w:w="0" w:type="dxa"/>
            <w:right w:w="108" w:type="dxa"/>
          </w:tblCellMar>
        </w:tblPrEx>
        <w:trPr>
          <w:trHeight w:val="97"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34</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履约担保</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E/>
              <w:autoSpaceDN/>
              <w:bidi w:val="0"/>
              <w:spacing w:before="0" w:beforeAutospacing="0" w:after="0" w:afterAutospacing="0" w:line="440" w:lineRule="exact"/>
              <w:ind w:left="0" w:right="0"/>
              <w:textAlignment w:val="auto"/>
              <w:rPr>
                <w:rFonts w:hint="default" w:ascii="宋体" w:hAnsi="宋体" w:cs="宋体"/>
                <w:bCs/>
                <w:color w:val="auto"/>
                <w:szCs w:val="21"/>
                <w:highlight w:val="none"/>
              </w:rPr>
            </w:pPr>
            <w:r>
              <w:rPr>
                <w:rFonts w:hint="eastAsia" w:ascii="宋体" w:hAnsi="宋体" w:cs="宋体"/>
                <w:bCs/>
                <w:color w:val="auto"/>
                <w:szCs w:val="21"/>
                <w:highlight w:val="none"/>
              </w:rPr>
              <w:t>履约担保的形式：支持银行转账、银行电汇、银行保函、担保机构担保、保证保险使用</w:t>
            </w:r>
            <w:r>
              <w:rPr>
                <w:rFonts w:hint="eastAsia" w:ascii="宋体" w:hAnsi="宋体" w:cs="宋体"/>
                <w:color w:val="auto"/>
                <w:szCs w:val="21"/>
                <w:highlight w:val="none"/>
              </w:rPr>
              <w:t xml:space="preserve"> </w:t>
            </w:r>
          </w:p>
          <w:p>
            <w:pPr>
              <w:keepNext w:val="0"/>
              <w:keepLines w:val="0"/>
              <w:pageBreakBefore w:val="0"/>
              <w:suppressLineNumbers w:val="0"/>
              <w:kinsoku/>
              <w:wordWrap/>
              <w:overflowPunct/>
              <w:autoSpaceDE/>
              <w:autoSpaceDN/>
              <w:bidi w:val="0"/>
              <w:spacing w:before="0" w:beforeAutospacing="0" w:after="0" w:afterAutospacing="0" w:line="440" w:lineRule="exact"/>
              <w:ind w:left="0" w:right="0"/>
              <w:textAlignment w:val="auto"/>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rPr>
              <w:t>履约担保的金额：中标</w:t>
            </w:r>
            <w:r>
              <w:rPr>
                <w:rFonts w:hint="eastAsia" w:ascii="宋体" w:hAnsi="宋体" w:cs="宋体"/>
                <w:color w:val="auto"/>
                <w:szCs w:val="21"/>
                <w:highlight w:val="none"/>
                <w:lang w:val="en-US" w:eastAsia="zh-CN"/>
              </w:rPr>
              <w:t>合同价款</w:t>
            </w:r>
            <w:r>
              <w:rPr>
                <w:rFonts w:hint="eastAsia" w:ascii="宋体" w:hAnsi="宋体" w:cs="宋体"/>
                <w:bCs/>
                <w:color w:val="auto"/>
                <w:szCs w:val="21"/>
                <w:highlight w:val="none"/>
              </w:rPr>
              <w:t>×</w:t>
            </w:r>
            <w:r>
              <w:rPr>
                <w:rFonts w:hint="eastAsia" w:ascii="宋体" w:hAnsi="宋体" w:cs="宋体"/>
                <w:bCs/>
                <w:color w:val="auto"/>
                <w:szCs w:val="21"/>
                <w:highlight w:val="none"/>
                <w:lang w:val="en-US" w:eastAsia="zh-CN"/>
              </w:rPr>
              <w:t>10</w:t>
            </w:r>
            <w:r>
              <w:rPr>
                <w:rFonts w:hint="eastAsia" w:ascii="宋体" w:hAnsi="宋体" w:cs="宋体"/>
                <w:bCs/>
                <w:color w:val="auto"/>
                <w:szCs w:val="21"/>
                <w:highlight w:val="none"/>
              </w:rPr>
              <w:t>%</w:t>
            </w:r>
          </w:p>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注：投标保证金</w:t>
            </w:r>
            <w:r>
              <w:rPr>
                <w:rFonts w:hint="eastAsia" w:ascii="宋体" w:hAnsi="宋体" w:cs="宋体"/>
                <w:color w:val="auto"/>
                <w:szCs w:val="21"/>
                <w:highlight w:val="none"/>
                <w:lang w:val="en-US" w:eastAsia="zh-CN"/>
              </w:rPr>
              <w:t>不</w:t>
            </w:r>
            <w:r>
              <w:rPr>
                <w:rFonts w:hint="eastAsia" w:ascii="宋体" w:hAnsi="宋体" w:eastAsia="宋体" w:cs="宋体"/>
                <w:color w:val="auto"/>
                <w:szCs w:val="21"/>
                <w:highlight w:val="none"/>
                <w:lang w:val="en-US" w:eastAsia="zh-CN"/>
              </w:rPr>
              <w:t>可转为履约保证金。</w:t>
            </w:r>
          </w:p>
          <w:p>
            <w:pPr>
              <w:pStyle w:val="4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收款单位：中标后另行通知                 </w:t>
            </w:r>
          </w:p>
          <w:p>
            <w:pPr>
              <w:pStyle w:val="4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开户银行：中标后另行通知                   </w:t>
            </w:r>
          </w:p>
          <w:p>
            <w:pPr>
              <w:pStyle w:val="4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银行账号：中标后另行通知                   </w:t>
            </w:r>
          </w:p>
          <w:p>
            <w:pPr>
              <w:keepNext w:val="0"/>
              <w:keepLines w:val="0"/>
              <w:pageBreakBefore w:val="0"/>
              <w:suppressLineNumbers w:val="0"/>
              <w:kinsoku/>
              <w:wordWrap/>
              <w:overflowPunct/>
              <w:autoSpaceDN/>
              <w:bidi w:val="0"/>
              <w:spacing w:before="0" w:beforeAutospacing="0" w:after="0" w:afterAutospacing="0" w:line="440" w:lineRule="exact"/>
              <w:ind w:left="0" w:right="0"/>
              <w:textAlignment w:val="auto"/>
              <w:rPr>
                <w:rFonts w:hint="eastAsia" w:ascii="宋体" w:hAnsi="宋体" w:cs="宋体"/>
                <w:color w:val="auto"/>
                <w:szCs w:val="21"/>
                <w:highlight w:val="none"/>
              </w:rPr>
            </w:pPr>
            <w:r>
              <w:rPr>
                <w:rFonts w:hint="eastAsia" w:ascii="宋体" w:hAnsi="宋体" w:eastAsia="宋体" w:cs="宋体"/>
                <w:color w:val="auto"/>
                <w:sz w:val="21"/>
                <w:szCs w:val="21"/>
                <w:highlight w:val="none"/>
                <w:lang w:val="en-US" w:eastAsia="zh-CN"/>
              </w:rPr>
              <w:t>缴纳时限：</w:t>
            </w:r>
            <w:r>
              <w:rPr>
                <w:rFonts w:hint="eastAsia" w:ascii="宋体" w:hAnsi="宋体" w:cs="宋体"/>
                <w:color w:val="auto"/>
                <w:szCs w:val="21"/>
                <w:highlight w:val="none"/>
              </w:rPr>
              <w:t>中标人须在中标通知书发出后</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日内完成履约保证金或履约保函缴纳及合同签订。中标单位原因造成合同延期签订的，每延期一天按1000元</w:t>
            </w:r>
            <w:r>
              <w:rPr>
                <w:rFonts w:hint="eastAsia" w:ascii="宋体" w:hAnsi="宋体" w:cs="宋体"/>
                <w:color w:val="auto"/>
                <w:szCs w:val="21"/>
                <w:highlight w:val="none"/>
                <w:lang w:val="en-US" w:eastAsia="zh-CN"/>
              </w:rPr>
              <w:t>处以违约金</w:t>
            </w:r>
            <w:r>
              <w:rPr>
                <w:rFonts w:hint="eastAsia" w:ascii="宋体" w:hAnsi="宋体" w:cs="宋体"/>
                <w:color w:val="auto"/>
                <w:szCs w:val="21"/>
                <w:highlight w:val="none"/>
              </w:rPr>
              <w:t xml:space="preserve">，延期签订情节严重的，招标人有权取消其中标资格。并承担给招标人造成的损失，同时依法承担相应法律责任。 </w:t>
            </w:r>
            <w:r>
              <w:rPr>
                <w:rFonts w:hint="eastAsia" w:ascii="宋体" w:hAnsi="宋体" w:cs="宋体"/>
                <w:color w:val="auto"/>
                <w:szCs w:val="21"/>
                <w:highlight w:val="none"/>
              </w:rPr>
              <w:t xml:space="preserve"> </w:t>
            </w:r>
          </w:p>
          <w:p>
            <w:pPr>
              <w:pStyle w:val="4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0" w:right="0" w:rightChars="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履约保证金退还时限：履约保证金有效期满7日内</w:t>
            </w:r>
            <w:r>
              <w:rPr>
                <w:rFonts w:hint="eastAsia" w:cs="宋体"/>
                <w:color w:val="auto"/>
                <w:sz w:val="21"/>
                <w:szCs w:val="21"/>
                <w:highlight w:val="none"/>
                <w:lang w:val="en-US" w:eastAsia="zh-CN"/>
              </w:rPr>
              <w:t>。</w:t>
            </w:r>
          </w:p>
          <w:p>
            <w:pPr>
              <w:pStyle w:val="4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其他相关要求：</w:t>
            </w:r>
          </w:p>
          <w:p>
            <w:pPr>
              <w:keepNext w:val="0"/>
              <w:keepLines w:val="0"/>
              <w:pageBreakBefore w:val="0"/>
              <w:suppressLineNumbers w:val="0"/>
              <w:kinsoku/>
              <w:wordWrap/>
              <w:overflowPunct/>
              <w:autoSpaceDE/>
              <w:autoSpaceDN/>
              <w:bidi w:val="0"/>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szCs w:val="21"/>
                <w:highlight w:val="none"/>
              </w:rPr>
              <w:t>①保函形式须为见索即付型（无条件保函）；②须有保函编号；③须加盖银行公章而非银行业务专用章；④格式见合同附件；⑤保函的有效期不低于本项目质量验收合格后。 </w:t>
            </w:r>
          </w:p>
        </w:tc>
      </w:tr>
      <w:tr>
        <w:tblPrEx>
          <w:tblCellMar>
            <w:top w:w="0" w:type="dxa"/>
            <w:left w:w="108" w:type="dxa"/>
            <w:bottom w:w="0" w:type="dxa"/>
            <w:right w:w="108" w:type="dxa"/>
          </w:tblCellMar>
        </w:tblPrEx>
        <w:trPr>
          <w:trHeight w:val="9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35</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color w:val="auto"/>
                <w:highlight w:val="none"/>
                <w:lang w:val="en-US" w:eastAsia="zh-CN"/>
              </w:rPr>
            </w:pPr>
            <w:r>
              <w:rPr>
                <w:rFonts w:hint="eastAsia"/>
                <w:color w:val="auto"/>
                <w:highlight w:val="none"/>
                <w:lang w:val="en-US" w:eastAsia="zh-CN"/>
              </w:rPr>
              <w:t>付款方式</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color w:val="auto"/>
                <w:highlight w:val="none"/>
                <w:lang w:val="en-US" w:eastAsia="zh-CN"/>
              </w:rPr>
            </w:pPr>
            <w:r>
              <w:rPr>
                <w:rFonts w:hint="eastAsia"/>
                <w:color w:val="auto"/>
                <w:highlight w:val="none"/>
                <w:lang w:val="en-US" w:eastAsia="zh-CN"/>
              </w:rPr>
              <w:t>项目验收合格后支付</w:t>
            </w:r>
            <w:r>
              <w:rPr>
                <w:rFonts w:hint="eastAsia"/>
                <w:color w:val="auto"/>
                <w:highlight w:val="none"/>
                <w:lang w:val="en-US" w:eastAsia="zh-CN"/>
              </w:rPr>
              <w:t>至合同价款的60%，</w:t>
            </w:r>
            <w:r>
              <w:rPr>
                <w:rFonts w:hint="eastAsia"/>
                <w:color w:val="auto"/>
                <w:highlight w:val="none"/>
                <w:lang w:val="en-US" w:eastAsia="zh-CN"/>
              </w:rPr>
              <w:t>审核完成后付至审核价款的98%，余款2%留作质保金，质保金在质保期(质保证期从工程竣工验收合格之日起计算，一年)满后一周内付清(均无息）。质量保金支持保函（银行保函、担保机构担保、保证保险）使用。采用保函的不再从工程进度款中扣留质量保证金，保函有效期须与工程缺陷责任期截止时间保持一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color w:val="auto"/>
                <w:highlight w:val="none"/>
                <w:lang w:val="en-US" w:eastAsia="zh-CN"/>
              </w:rPr>
            </w:pPr>
            <w:r>
              <w:rPr>
                <w:rFonts w:hint="eastAsia"/>
                <w:color w:val="auto"/>
                <w:highlight w:val="none"/>
                <w:lang w:val="en-US" w:eastAsia="zh-CN"/>
              </w:rPr>
              <w:t>说明；竣工验收合格以业主委托具有资质的第三方检测机构出具的检测报告为准。</w:t>
            </w:r>
          </w:p>
        </w:tc>
      </w:tr>
      <w:tr>
        <w:tblPrEx>
          <w:tblCellMar>
            <w:top w:w="0" w:type="dxa"/>
            <w:left w:w="108" w:type="dxa"/>
            <w:bottom w:w="0" w:type="dxa"/>
            <w:right w:w="108" w:type="dxa"/>
          </w:tblCellMar>
        </w:tblPrEx>
        <w:trPr>
          <w:trHeight w:val="90" w:hRule="atLeast"/>
          <w:jc w:val="center"/>
        </w:trPr>
        <w:tc>
          <w:tcPr>
            <w:tcW w:w="10328"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需要补充的其他内容</w:t>
            </w:r>
          </w:p>
        </w:tc>
      </w:tr>
      <w:tr>
        <w:tblPrEx>
          <w:tblCellMar>
            <w:top w:w="0" w:type="dxa"/>
            <w:left w:w="108" w:type="dxa"/>
            <w:bottom w:w="0" w:type="dxa"/>
            <w:right w:w="108" w:type="dxa"/>
          </w:tblCellMar>
        </w:tblPrEx>
        <w:trPr>
          <w:jc w:val="center"/>
        </w:trPr>
        <w:tc>
          <w:tcPr>
            <w:tcW w:w="177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 w:val="21"/>
                <w:szCs w:val="21"/>
                <w:highlight w:val="none"/>
              </w:rPr>
              <w:t>招标代理服务费</w:t>
            </w:r>
          </w:p>
        </w:tc>
        <w:tc>
          <w:tcPr>
            <w:tcW w:w="8550"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代理服务具体金额：</w:t>
            </w:r>
            <w:r>
              <w:rPr>
                <w:rFonts w:hint="eastAsia" w:ascii="宋体" w:hAnsi="宋体" w:cs="宋体"/>
                <w:color w:val="auto"/>
                <w:kern w:val="0"/>
                <w:szCs w:val="21"/>
                <w:highlight w:val="none"/>
                <w:u w:val="single"/>
                <w:lang w:val="en-US" w:eastAsia="zh-CN"/>
              </w:rPr>
              <w:t xml:space="preserve">15068 </w:t>
            </w:r>
            <w:r>
              <w:rPr>
                <w:rFonts w:hint="eastAsia" w:ascii="宋体" w:hAnsi="宋体" w:cs="宋体"/>
                <w:color w:val="auto"/>
                <w:kern w:val="0"/>
                <w:szCs w:val="21"/>
                <w:highlight w:val="none"/>
              </w:rPr>
              <w:t>元</w:t>
            </w:r>
            <w:r>
              <w:rPr>
                <w:rFonts w:hint="eastAsia" w:ascii="宋体" w:hAnsi="宋体" w:cs="宋体"/>
                <w:bCs/>
                <w:color w:val="auto"/>
                <w:kern w:val="0"/>
                <w:highlight w:val="none"/>
              </w:rPr>
              <w:t>。</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kern w:val="0"/>
                <w:szCs w:val="21"/>
                <w:highlight w:val="none"/>
              </w:rPr>
              <w:t>代理服务费支付主体</w:t>
            </w:r>
            <w:r>
              <w:rPr>
                <w:rFonts w:hint="eastAsia" w:ascii="宋体" w:hAnsi="宋体" w:cs="宋体"/>
                <w:color w:val="auto"/>
                <w:szCs w:val="21"/>
                <w:highlight w:val="none"/>
              </w:rPr>
              <w:t>：中标单位</w:t>
            </w:r>
            <w:r>
              <w:rPr>
                <w:rFonts w:hint="eastAsia" w:ascii="宋体" w:hAnsi="宋体" w:cs="宋体"/>
                <w:color w:val="auto"/>
                <w:szCs w:val="21"/>
                <w:highlight w:val="none"/>
                <w:lang w:eastAsia="zh-CN"/>
              </w:rPr>
              <w:t>，</w:t>
            </w:r>
            <w:r>
              <w:rPr>
                <w:rFonts w:hint="eastAsia" w:ascii="宋体" w:hAnsi="宋体" w:cs="宋体"/>
                <w:color w:val="auto"/>
                <w:kern w:val="0"/>
                <w:szCs w:val="21"/>
                <w:highlight w:val="none"/>
              </w:rPr>
              <w:t>由中标单位在领取中标通知书时，一次性支付给代理机构。</w:t>
            </w:r>
          </w:p>
        </w:tc>
      </w:tr>
      <w:tr>
        <w:tblPrEx>
          <w:tblCellMar>
            <w:top w:w="0" w:type="dxa"/>
            <w:left w:w="108" w:type="dxa"/>
            <w:bottom w:w="0" w:type="dxa"/>
            <w:right w:w="108" w:type="dxa"/>
          </w:tblCellMar>
        </w:tblPrEx>
        <w:trPr>
          <w:jc w:val="center"/>
        </w:trPr>
        <w:tc>
          <w:tcPr>
            <w:tcW w:w="177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jc w:val="center"/>
              <w:textAlignment w:val="auto"/>
              <w:rPr>
                <w:rFonts w:hint="eastAsia" w:ascii="宋体" w:hAnsi="宋体" w:cs="宋体"/>
                <w:color w:val="auto"/>
                <w:szCs w:val="21"/>
                <w:highlight w:val="none"/>
              </w:rPr>
            </w:pPr>
            <w:r>
              <w:rPr>
                <w:rFonts w:hint="eastAsia" w:ascii="宋体" w:hAnsi="宋体" w:cs="宋体"/>
                <w:color w:val="auto"/>
                <w:sz w:val="21"/>
                <w:szCs w:val="21"/>
                <w:highlight w:val="none"/>
              </w:rPr>
              <w:t>专家评审劳务费</w:t>
            </w:r>
          </w:p>
        </w:tc>
        <w:tc>
          <w:tcPr>
            <w:tcW w:w="8550"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费用或支付标准：</w:t>
            </w:r>
            <w:r>
              <w:rPr>
                <w:rFonts w:hint="eastAsia" w:ascii="宋体" w:hAnsi="宋体" w:cs="宋体"/>
                <w:color w:val="auto"/>
                <w:sz w:val="21"/>
                <w:szCs w:val="21"/>
                <w:highlight w:val="none"/>
                <w:lang w:val="en-US" w:eastAsia="zh-CN"/>
              </w:rPr>
              <w:t>以实际发生为准。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cs="宋体"/>
                <w:color w:val="auto"/>
                <w:kern w:val="0"/>
                <w:szCs w:val="21"/>
                <w:highlight w:val="none"/>
              </w:rPr>
            </w:pPr>
            <w:r>
              <w:rPr>
                <w:rFonts w:hint="eastAsia"/>
                <w:color w:val="auto"/>
                <w:sz w:val="21"/>
                <w:szCs w:val="21"/>
                <w:highlight w:val="none"/>
              </w:rPr>
              <w:t>支付主体：</w:t>
            </w:r>
            <w:r>
              <w:rPr>
                <w:rFonts w:hint="eastAsia"/>
                <w:color w:val="auto"/>
                <w:sz w:val="21"/>
                <w:szCs w:val="21"/>
                <w:highlight w:val="none"/>
                <w:lang w:val="en-US" w:eastAsia="zh-CN"/>
              </w:rPr>
              <w:t>中标单位</w:t>
            </w:r>
          </w:p>
        </w:tc>
      </w:tr>
      <w:tr>
        <w:tblPrEx>
          <w:tblCellMar>
            <w:top w:w="0" w:type="dxa"/>
            <w:left w:w="108" w:type="dxa"/>
            <w:bottom w:w="0" w:type="dxa"/>
            <w:right w:w="108" w:type="dxa"/>
          </w:tblCellMar>
        </w:tblPrEx>
        <w:trPr>
          <w:jc w:val="center"/>
        </w:trPr>
        <w:tc>
          <w:tcPr>
            <w:tcW w:w="177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adjustRightInd w:val="0"/>
              <w:snapToGrid w:val="0"/>
              <w:spacing w:before="0" w:beforeAutospacing="0" w:after="0" w:afterAutospacing="0" w:line="440" w:lineRule="exact"/>
              <w:ind w:left="0" w:right="0"/>
              <w:jc w:val="center"/>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约谈制度</w:t>
            </w:r>
          </w:p>
        </w:tc>
        <w:tc>
          <w:tcPr>
            <w:tcW w:w="8550"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color w:val="auto"/>
                <w:sz w:val="21"/>
                <w:szCs w:val="21"/>
                <w:highlight w:val="none"/>
              </w:rPr>
            </w:pPr>
            <w:r>
              <w:rPr>
                <w:rFonts w:hint="eastAsia"/>
                <w:color w:val="auto"/>
                <w:sz w:val="21"/>
                <w:szCs w:val="21"/>
                <w:highlight w:val="none"/>
              </w:rPr>
              <w:t>本项目实行法定代表人和项目负责人约谈制度：项目中标公示期满，下发中标通知书前，中标单位必须按照招标人的规定时间参加约谈，中标单位的法定代表人和项目负责人必须参加约谈会议，未按照规定时间要求参加约谈或中标单位的法定代表人和项目负责人没有参加约谈会议的，视为自动放弃中标。</w:t>
            </w:r>
          </w:p>
        </w:tc>
      </w:tr>
      <w:tr>
        <w:tblPrEx>
          <w:tblCellMar>
            <w:top w:w="0" w:type="dxa"/>
            <w:left w:w="108" w:type="dxa"/>
            <w:bottom w:w="0" w:type="dxa"/>
            <w:right w:w="108" w:type="dxa"/>
          </w:tblCellMar>
        </w:tblPrEx>
        <w:trPr>
          <w:jc w:val="center"/>
        </w:trPr>
        <w:tc>
          <w:tcPr>
            <w:tcW w:w="177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autoSpaceDN/>
              <w:bidi w:val="0"/>
              <w:spacing w:before="0" w:beforeAutospacing="0" w:after="0" w:afterAutospacing="0" w:line="440" w:lineRule="exact"/>
              <w:ind w:left="0"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8550"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szCs w:val="21"/>
                <w:highlight w:val="none"/>
              </w:rPr>
              <w:t>1、本招标文件前后条款若有不一致之处，在澄清答疑时又未作出明确规定时，各投标人的投标文件只要满足其中任一条款，均视为对本招标文件的响应。</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szCs w:val="21"/>
                <w:highlight w:val="none"/>
              </w:rPr>
              <w:t>2、本项目招标公告与本招标文件不一致之处，以本招标文件为准。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default" w:ascii="宋体" w:hAnsi="宋体" w:cs="宋体"/>
                <w:color w:val="auto"/>
                <w:szCs w:val="21"/>
                <w:highlight w:val="none"/>
              </w:rPr>
            </w:pPr>
            <w:r>
              <w:rPr>
                <w:rFonts w:hint="eastAsia" w:ascii="宋体" w:hAnsi="宋体" w:cs="宋体"/>
                <w:color w:val="auto"/>
                <w:szCs w:val="21"/>
                <w:highlight w:val="none"/>
              </w:rPr>
              <w:t>3、本项目严禁非法转包，一经发现，招标人依法处理。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default" w:ascii="宋体" w:hAnsi="宋体" w:cs="宋体"/>
                <w:strike/>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、本文件的最终解释权归招标人、招标代理机构所有。</w:t>
            </w:r>
          </w:p>
        </w:tc>
      </w:tr>
    </w:tbl>
    <w:p>
      <w:pPr>
        <w:rPr>
          <w:rFonts w:hint="eastAsia" w:ascii="宋体" w:hAnsi="宋体" w:eastAsia="宋体" w:cs="宋体"/>
          <w:color w:val="auto"/>
          <w:sz w:val="24"/>
          <w:szCs w:val="24"/>
          <w:highlight w:val="none"/>
        </w:rPr>
      </w:pPr>
      <w:bookmarkStart w:id="59" w:name="_Toc35424887"/>
      <w:bookmarkStart w:id="60" w:name="_Toc35425053"/>
      <w:bookmarkStart w:id="61" w:name="_Toc5813"/>
      <w:bookmarkStart w:id="62" w:name="_Toc78803322"/>
      <w:bookmarkStart w:id="63" w:name="_Toc15058846"/>
      <w:r>
        <w:rPr>
          <w:rFonts w:hint="eastAsia" w:ascii="宋体" w:hAnsi="宋体" w:eastAsia="宋体" w:cs="宋体"/>
          <w:color w:val="auto"/>
          <w:sz w:val="24"/>
          <w:szCs w:val="24"/>
          <w:highlight w:val="none"/>
        </w:rPr>
        <w:br w:type="page"/>
      </w:r>
    </w:p>
    <w:p>
      <w:pPr>
        <w:pStyle w:val="7"/>
        <w:pageBreakBefore w:val="0"/>
        <w:widowControl w:val="0"/>
        <w:kinsoku/>
        <w:wordWrap/>
        <w:overflowPunct/>
        <w:topLinePunct w:val="0"/>
        <w:autoSpaceDE/>
        <w:autoSpaceDN/>
        <w:bidi w:val="0"/>
        <w:spacing w:beforeLines="50" w:afterLines="50" w:line="42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总则</w:t>
      </w:r>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kern w:val="44"/>
          <w:highlight w:val="none"/>
        </w:rPr>
      </w:pPr>
      <w:bookmarkStart w:id="64" w:name="_Toc35425054"/>
      <w:bookmarkStart w:id="65" w:name="_Toc247085690"/>
      <w:bookmarkStart w:id="66" w:name="_Toc324404816"/>
      <w:bookmarkStart w:id="67" w:name="_Toc179632547"/>
      <w:bookmarkStart w:id="68" w:name="_Toc4678"/>
      <w:bookmarkStart w:id="69" w:name="_Toc35424888"/>
      <w:bookmarkStart w:id="70" w:name="_Toc78803323"/>
      <w:bookmarkStart w:id="71" w:name="_Toc144974498"/>
      <w:bookmarkStart w:id="72" w:name="_Toc152042306"/>
      <w:bookmarkStart w:id="73" w:name="_Toc246996176"/>
      <w:bookmarkStart w:id="74" w:name="_Toc152045530"/>
      <w:bookmarkStart w:id="75" w:name="_Toc296602421"/>
      <w:bookmarkStart w:id="76" w:name="_Toc246996919"/>
      <w:bookmarkStart w:id="77" w:name="_Toc15058847"/>
      <w:bookmarkStart w:id="78" w:name="_Toc506107270"/>
      <w:r>
        <w:rPr>
          <w:rFonts w:hint="eastAsia" w:ascii="宋体" w:hAnsi="宋体" w:eastAsia="宋体" w:cs="宋体"/>
          <w:color w:val="auto"/>
          <w:kern w:val="44"/>
          <w:highlight w:val="none"/>
        </w:rPr>
        <w:t>1.1 项目概况</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1.1.1根据《中华人民共和国招标投标法》《中华人民共和国招标投标法实施条例》等有关法律、法规和规章的规定，本招标项目已具备招标条件，现对本项目施工进行招标。</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1.1.2 本招标项目招标人：见投标人须知前附表。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1.1.3 本招标项目招标代理机构：见投标人须知前附表。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1.1.4 本招标项目名称：见投标人须知前附表。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1.1.5 本招标项目建设地点：见投标人须知前附表。</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79" w:name="_Toc506107271"/>
      <w:bookmarkStart w:id="80" w:name="_Toc35425055"/>
      <w:bookmarkStart w:id="81" w:name="_Toc7142"/>
      <w:bookmarkStart w:id="82" w:name="_Toc152045531"/>
      <w:bookmarkStart w:id="83" w:name="_Toc152042307"/>
      <w:bookmarkStart w:id="84" w:name="_Toc296602422"/>
      <w:bookmarkStart w:id="85" w:name="_Toc35424889"/>
      <w:bookmarkStart w:id="86" w:name="_Toc144974499"/>
      <w:bookmarkStart w:id="87" w:name="_Toc324404817"/>
      <w:bookmarkStart w:id="88" w:name="_Toc246996177"/>
      <w:bookmarkStart w:id="89" w:name="_Toc246996920"/>
      <w:bookmarkStart w:id="90" w:name="_Toc78803324"/>
      <w:bookmarkStart w:id="91" w:name="_Toc179632548"/>
      <w:bookmarkStart w:id="92" w:name="_Toc15058848"/>
      <w:bookmarkStart w:id="93" w:name="_Toc247085691"/>
      <w:r>
        <w:rPr>
          <w:rFonts w:hint="eastAsia" w:ascii="宋体" w:hAnsi="宋体" w:eastAsia="宋体" w:cs="宋体"/>
          <w:color w:val="auto"/>
          <w:highlight w:val="none"/>
        </w:rPr>
        <w:t>1.2 资金来源和落实情况</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1.2.1 本招标项目的资金来源及出资比例：见投标人须知前附表。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1.2.2 本招标项目的资金落实情况：见投标人须知前附表。</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94" w:name="_Toc506107272"/>
      <w:bookmarkStart w:id="95" w:name="_Toc152045532"/>
      <w:bookmarkStart w:id="96" w:name="_Toc144974500"/>
      <w:bookmarkStart w:id="97" w:name="_Toc35425056"/>
      <w:bookmarkStart w:id="98" w:name="_Toc6330"/>
      <w:bookmarkStart w:id="99" w:name="_Toc246996921"/>
      <w:bookmarkStart w:id="100" w:name="_Toc152042308"/>
      <w:bookmarkStart w:id="101" w:name="_Toc247085692"/>
      <w:bookmarkStart w:id="102" w:name="_Toc296602423"/>
      <w:bookmarkStart w:id="103" w:name="_Toc15058849"/>
      <w:bookmarkStart w:id="104" w:name="_Toc78803325"/>
      <w:bookmarkStart w:id="105" w:name="_Toc35424890"/>
      <w:bookmarkStart w:id="106" w:name="_Toc179632549"/>
      <w:bookmarkStart w:id="107" w:name="_Toc246996178"/>
      <w:bookmarkStart w:id="108" w:name="_Toc324404818"/>
      <w:r>
        <w:rPr>
          <w:rFonts w:hint="eastAsia" w:ascii="宋体" w:hAnsi="宋体" w:eastAsia="宋体" w:cs="宋体"/>
          <w:color w:val="auto"/>
          <w:highlight w:val="none"/>
        </w:rPr>
        <w:t>1.3 招标范围、</w:t>
      </w:r>
      <w:r>
        <w:rPr>
          <w:rFonts w:hint="eastAsia" w:ascii="宋体" w:hAnsi="宋体" w:eastAsia="宋体" w:cs="宋体"/>
          <w:color w:val="auto"/>
          <w:highlight w:val="none"/>
          <w:lang w:val="en-US" w:eastAsia="zh-CN"/>
        </w:rPr>
        <w:t>工期</w:t>
      </w:r>
      <w:r>
        <w:rPr>
          <w:rFonts w:hint="eastAsia" w:ascii="宋体" w:hAnsi="宋体" w:eastAsia="宋体" w:cs="宋体"/>
          <w:color w:val="auto"/>
          <w:highlight w:val="none"/>
        </w:rPr>
        <w:t>、质量要求</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1.3.1 本次招标范围：见投标人须知前附表。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1.3.2 本招标项目的</w:t>
      </w:r>
      <w:r>
        <w:rPr>
          <w:rFonts w:hint="eastAsia" w:ascii="宋体" w:hAnsi="宋体" w:cs="宋体"/>
          <w:color w:val="auto"/>
          <w:szCs w:val="21"/>
          <w:highlight w:val="none"/>
          <w:lang w:val="en-US" w:eastAsia="zh-CN"/>
        </w:rPr>
        <w:t>工期</w:t>
      </w:r>
      <w:r>
        <w:rPr>
          <w:rFonts w:hint="eastAsia" w:ascii="宋体" w:hAnsi="宋体" w:cs="宋体"/>
          <w:color w:val="auto"/>
          <w:szCs w:val="21"/>
          <w:highlight w:val="none"/>
        </w:rPr>
        <w:t>：见投标人须知前附表。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1.3.3 本招标项目的质量要求：见投标人须知前附表。</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109" w:name="_Toc26897"/>
      <w:bookmarkStart w:id="110" w:name="_Toc506107273"/>
      <w:bookmarkStart w:id="111" w:name="_Toc144974502"/>
      <w:bookmarkStart w:id="112" w:name="_Toc246996179"/>
      <w:bookmarkStart w:id="113" w:name="_Toc324404819"/>
      <w:bookmarkStart w:id="114" w:name="_Toc296602424"/>
      <w:bookmarkStart w:id="115" w:name="_Toc78803326"/>
      <w:bookmarkStart w:id="116" w:name="_Toc152042310"/>
      <w:bookmarkStart w:id="117" w:name="_Toc15058850"/>
      <w:bookmarkStart w:id="118" w:name="_Toc152045534"/>
      <w:bookmarkStart w:id="119" w:name="_Toc35425057"/>
      <w:bookmarkStart w:id="120" w:name="_Toc35424891"/>
      <w:bookmarkStart w:id="121" w:name="_Toc246996922"/>
      <w:bookmarkStart w:id="122" w:name="_Toc179632551"/>
      <w:bookmarkStart w:id="123" w:name="_Toc247085693"/>
      <w:r>
        <w:rPr>
          <w:rFonts w:hint="eastAsia" w:ascii="宋体" w:hAnsi="宋体" w:eastAsia="宋体" w:cs="宋体"/>
          <w:color w:val="auto"/>
          <w:highlight w:val="none"/>
        </w:rPr>
        <w:t>1.4 投标人资格要求</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1.4.1 投标人应具备承担本项目</w:t>
      </w:r>
      <w:r>
        <w:rPr>
          <w:rFonts w:hint="eastAsia" w:ascii="宋体" w:hAnsi="宋体" w:cs="宋体"/>
          <w:color w:val="auto"/>
          <w:szCs w:val="21"/>
          <w:highlight w:val="none"/>
          <w:lang w:val="en-US" w:eastAsia="zh-CN"/>
        </w:rPr>
        <w:t>施工</w:t>
      </w:r>
      <w:r>
        <w:rPr>
          <w:rFonts w:hint="eastAsia" w:ascii="宋体" w:hAnsi="宋体" w:cs="宋体"/>
          <w:color w:val="auto"/>
          <w:szCs w:val="21"/>
          <w:highlight w:val="none"/>
        </w:rPr>
        <w:t>的资质条件、能力和信誉。</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（1）资质条件：见投标人须知前附表；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（2）项目</w:t>
      </w:r>
      <w:r>
        <w:rPr>
          <w:rFonts w:hint="eastAsia" w:ascii="宋体" w:hAnsi="宋体" w:cs="宋体"/>
          <w:color w:val="auto"/>
          <w:szCs w:val="21"/>
          <w:highlight w:val="none"/>
          <w:lang w:val="en-US" w:eastAsia="zh-CN"/>
        </w:rPr>
        <w:t>经理</w:t>
      </w:r>
      <w:r>
        <w:rPr>
          <w:rFonts w:hint="eastAsia" w:ascii="宋体" w:hAnsi="宋体" w:cs="宋体"/>
          <w:color w:val="auto"/>
          <w:szCs w:val="21"/>
          <w:highlight w:val="none"/>
        </w:rPr>
        <w:t>资格：见投标人须知前附表；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（3）信誉要求：见投标人须知前附表；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）其他要求：见投标人须知前附表。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1.4.2 投标人不得存在下列情形之一：</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（1）为招标人不具有独立法人资格的附属机构（单位）；</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（2）与招标人存在利害关系且可能影响招标公正性；</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（3）与本标段的其他投标人同为一个单位负责人；</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（4）与本标段的其他投标人存在控股、管理关系；</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（5）为本标段前期准备提供设计或咨询服务的法人或其任何附属机构（单位）；</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（6）为本标段的</w:t>
      </w:r>
      <w:r>
        <w:rPr>
          <w:rFonts w:hint="eastAsia" w:ascii="宋体" w:hAnsi="宋体" w:cs="宋体"/>
          <w:color w:val="auto"/>
          <w:szCs w:val="21"/>
          <w:highlight w:val="none"/>
          <w:lang w:eastAsia="zh-CN"/>
        </w:rPr>
        <w:t>发包人</w:t>
      </w:r>
      <w:r>
        <w:rPr>
          <w:rFonts w:hint="eastAsia" w:ascii="宋体" w:hAnsi="宋体" w:cs="宋体"/>
          <w:color w:val="auto"/>
          <w:szCs w:val="21"/>
          <w:highlight w:val="none"/>
        </w:rPr>
        <w:t>；</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（7）为本标段的代建人；</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（8）为本标段的招标代理机构；</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（9）与本标段的</w:t>
      </w:r>
      <w:r>
        <w:rPr>
          <w:rFonts w:hint="eastAsia" w:ascii="宋体" w:hAnsi="宋体" w:cs="宋体"/>
          <w:color w:val="auto"/>
          <w:szCs w:val="21"/>
          <w:highlight w:val="none"/>
          <w:lang w:eastAsia="zh-CN"/>
        </w:rPr>
        <w:t>发包人</w:t>
      </w:r>
      <w:r>
        <w:rPr>
          <w:rFonts w:hint="eastAsia" w:ascii="宋体" w:hAnsi="宋体" w:cs="宋体"/>
          <w:color w:val="auto"/>
          <w:szCs w:val="21"/>
          <w:highlight w:val="none"/>
        </w:rPr>
        <w:t>或代建人或招标代理机构同为一个法定代表人；</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（10）与本标段的</w:t>
      </w:r>
      <w:r>
        <w:rPr>
          <w:rFonts w:hint="eastAsia" w:ascii="宋体" w:hAnsi="宋体" w:cs="宋体"/>
          <w:color w:val="auto"/>
          <w:szCs w:val="21"/>
          <w:highlight w:val="none"/>
          <w:lang w:eastAsia="zh-CN"/>
        </w:rPr>
        <w:t>发包人</w:t>
      </w:r>
      <w:r>
        <w:rPr>
          <w:rFonts w:hint="eastAsia" w:ascii="宋体" w:hAnsi="宋体" w:cs="宋体"/>
          <w:color w:val="auto"/>
          <w:szCs w:val="21"/>
          <w:highlight w:val="none"/>
        </w:rPr>
        <w:t>或代建人或招标代理机构存在控股或参股关系；</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（11）法律法规或投标人须知前附表规定的其他情形。</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1.4.3 单位负责人为同一人或者存在控股、管理关系的不同单位，不得同时参加本招标项目投标。</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124" w:name="_Toc15058851"/>
      <w:bookmarkStart w:id="125" w:name="_Toc35425058"/>
      <w:bookmarkStart w:id="126" w:name="_Toc152045535"/>
      <w:bookmarkStart w:id="127" w:name="_Toc144974503"/>
      <w:bookmarkStart w:id="128" w:name="_Toc506107274"/>
      <w:bookmarkStart w:id="129" w:name="_Toc246996923"/>
      <w:bookmarkStart w:id="130" w:name="_Toc78803327"/>
      <w:bookmarkStart w:id="131" w:name="_Toc247085694"/>
      <w:bookmarkStart w:id="132" w:name="_Toc246996180"/>
      <w:bookmarkStart w:id="133" w:name="_Toc10179"/>
      <w:bookmarkStart w:id="134" w:name="_Toc179632552"/>
      <w:bookmarkStart w:id="135" w:name="_Toc152042311"/>
      <w:bookmarkStart w:id="136" w:name="_Toc296602425"/>
      <w:bookmarkStart w:id="137" w:name="_Toc324404820"/>
      <w:bookmarkStart w:id="138" w:name="_Toc35424892"/>
      <w:r>
        <w:rPr>
          <w:rFonts w:hint="eastAsia" w:ascii="宋体" w:hAnsi="宋体" w:eastAsia="宋体" w:cs="宋体"/>
          <w:color w:val="auto"/>
          <w:highlight w:val="none"/>
        </w:rPr>
        <w:t>1.5 费用承担</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投标人准备和参加投标活动发生的费用自理。</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139" w:name="_Toc152045536"/>
      <w:bookmarkStart w:id="140" w:name="_Toc152042312"/>
      <w:bookmarkStart w:id="141" w:name="_Toc246996181"/>
      <w:bookmarkStart w:id="142" w:name="_Toc4092"/>
      <w:bookmarkStart w:id="143" w:name="_Toc35424893"/>
      <w:bookmarkStart w:id="144" w:name="_Toc15058852"/>
      <w:bookmarkStart w:id="145" w:name="_Toc35425059"/>
      <w:bookmarkStart w:id="146" w:name="_Toc144974504"/>
      <w:bookmarkStart w:id="147" w:name="_Toc247085695"/>
      <w:bookmarkStart w:id="148" w:name="_Toc179632553"/>
      <w:bookmarkStart w:id="149" w:name="_Toc506107275"/>
      <w:bookmarkStart w:id="150" w:name="_Toc78803328"/>
      <w:bookmarkStart w:id="151" w:name="_Toc324404821"/>
      <w:bookmarkStart w:id="152" w:name="_Toc246996924"/>
      <w:bookmarkStart w:id="153" w:name="_Toc296602426"/>
      <w:r>
        <w:rPr>
          <w:rFonts w:hint="eastAsia" w:ascii="宋体" w:hAnsi="宋体" w:eastAsia="宋体" w:cs="宋体"/>
          <w:color w:val="auto"/>
          <w:highlight w:val="none"/>
        </w:rPr>
        <w:t>1.6 保密</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 xml:space="preserve">参与招标投标活动的各方应对招标文件和投标文件中的商业和技术等秘密保密，违者应对由此造成的后果承担法律责任。 </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154" w:name="_Toc144974505"/>
      <w:bookmarkStart w:id="155" w:name="_Toc246996182"/>
      <w:bookmarkStart w:id="156" w:name="_Toc506107276"/>
      <w:bookmarkStart w:id="157" w:name="_Toc35424894"/>
      <w:bookmarkStart w:id="158" w:name="_Toc152045537"/>
      <w:bookmarkStart w:id="159" w:name="_Toc296602427"/>
      <w:bookmarkStart w:id="160" w:name="_Toc15058853"/>
      <w:bookmarkStart w:id="161" w:name="_Toc247085696"/>
      <w:bookmarkStart w:id="162" w:name="_Toc78803329"/>
      <w:bookmarkStart w:id="163" w:name="_Toc35425060"/>
      <w:bookmarkStart w:id="164" w:name="_Toc324404822"/>
      <w:bookmarkStart w:id="165" w:name="_Toc152042313"/>
      <w:bookmarkStart w:id="166" w:name="_Toc179632554"/>
      <w:bookmarkStart w:id="167" w:name="_Toc4119"/>
      <w:bookmarkStart w:id="168" w:name="_Toc246996925"/>
      <w:r>
        <w:rPr>
          <w:rFonts w:hint="eastAsia" w:ascii="宋体" w:hAnsi="宋体" w:eastAsia="宋体" w:cs="宋体"/>
          <w:color w:val="auto"/>
          <w:highlight w:val="none"/>
        </w:rPr>
        <w:t>1.7 语言</w:t>
      </w:r>
      <w:bookmarkEnd w:id="154"/>
      <w:r>
        <w:rPr>
          <w:rFonts w:hint="eastAsia" w:ascii="宋体" w:hAnsi="宋体" w:eastAsia="宋体" w:cs="宋体"/>
          <w:color w:val="auto"/>
          <w:highlight w:val="none"/>
        </w:rPr>
        <w:t>文字</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bookmarkStart w:id="169" w:name="_Toc152045538"/>
      <w:bookmarkStart w:id="170" w:name="_Toc246996926"/>
      <w:bookmarkStart w:id="171" w:name="_Toc247085697"/>
      <w:bookmarkStart w:id="172" w:name="_Toc144974506"/>
      <w:bookmarkStart w:id="173" w:name="_Toc246996183"/>
      <w:bookmarkStart w:id="174" w:name="_Toc152042314"/>
      <w:bookmarkStart w:id="175" w:name="_Toc179632555"/>
      <w:r>
        <w:rPr>
          <w:rFonts w:hint="eastAsia" w:ascii="宋体" w:hAnsi="宋体" w:cs="宋体"/>
          <w:color w:val="auto"/>
          <w:szCs w:val="21"/>
          <w:highlight w:val="none"/>
        </w:rPr>
        <w:t>招标投标文件使用的语言文字为中文。专用术语使用外文的，应附有中文注释。</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176" w:name="_Toc13408"/>
      <w:bookmarkStart w:id="177" w:name="_Toc35424895"/>
      <w:bookmarkStart w:id="178" w:name="_Toc296602428"/>
      <w:bookmarkStart w:id="179" w:name="_Toc78803330"/>
      <w:bookmarkStart w:id="180" w:name="_Toc35425061"/>
      <w:bookmarkStart w:id="181" w:name="_Toc15058854"/>
      <w:bookmarkStart w:id="182" w:name="_Toc324404823"/>
      <w:bookmarkStart w:id="183" w:name="_Toc506107277"/>
      <w:r>
        <w:rPr>
          <w:rFonts w:hint="eastAsia" w:ascii="宋体" w:hAnsi="宋体" w:eastAsia="宋体" w:cs="宋体"/>
          <w:color w:val="auto"/>
          <w:highlight w:val="none"/>
        </w:rPr>
        <w:t>1.8 计量单位</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所有计量均采用中华人民共和国法定计量单位。</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184" w:name="_Toc152042315"/>
      <w:bookmarkStart w:id="185" w:name="_Toc144974507"/>
      <w:bookmarkStart w:id="186" w:name="_Toc78803331"/>
      <w:bookmarkStart w:id="187" w:name="_Toc506107278"/>
      <w:bookmarkStart w:id="188" w:name="_Toc11493"/>
      <w:bookmarkStart w:id="189" w:name="_Toc296602429"/>
      <w:bookmarkStart w:id="190" w:name="_Toc35425062"/>
      <w:bookmarkStart w:id="191" w:name="_Toc35424896"/>
      <w:bookmarkStart w:id="192" w:name="_Toc15058855"/>
      <w:bookmarkStart w:id="193" w:name="_Toc247527563"/>
      <w:bookmarkStart w:id="194" w:name="_Toc247592876"/>
      <w:bookmarkStart w:id="195" w:name="_Toc324404824"/>
      <w:bookmarkStart w:id="196" w:name="_Toc152045539"/>
      <w:bookmarkStart w:id="197" w:name="_Toc247513962"/>
      <w:r>
        <w:rPr>
          <w:rFonts w:hint="eastAsia" w:ascii="宋体" w:hAnsi="宋体" w:eastAsia="宋体" w:cs="宋体"/>
          <w:color w:val="auto"/>
          <w:highlight w:val="none"/>
        </w:rPr>
        <w:t>1.9 踏勘现场</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 xml:space="preserve">1.9.1 投标人须知前附表规定组织踏勘现场的，招标人按投标人须知前附表规定的时间、地点组织投标人踏勘项目现场。 </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1.9.2 投标人踏勘现场发生的费用自理。</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1.9.3 除招标人的原因外，投标人自行负责在踏勘现场中所发生的人员伤亡和财产损失。</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1.9.4 招标人在踏勘现场中介绍的工程场地和相关的周边环境情况，供投标人在编制投标文件时参考，招标人不对投标人据此作出的判断和决策负责。</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198" w:name="_Toc247513963"/>
      <w:bookmarkStart w:id="199" w:name="_Toc506107279"/>
      <w:bookmarkStart w:id="200" w:name="_Toc296602430"/>
      <w:bookmarkStart w:id="201" w:name="_Toc152042316"/>
      <w:bookmarkStart w:id="202" w:name="_Toc247527564"/>
      <w:bookmarkStart w:id="203" w:name="_Toc144974508"/>
      <w:bookmarkStart w:id="204" w:name="_Toc15058856"/>
      <w:bookmarkStart w:id="205" w:name="_Toc324404825"/>
      <w:bookmarkStart w:id="206" w:name="_Toc35424897"/>
      <w:bookmarkStart w:id="207" w:name="_Toc247592877"/>
      <w:bookmarkStart w:id="208" w:name="_Toc22954"/>
      <w:bookmarkStart w:id="209" w:name="_Toc35425063"/>
      <w:bookmarkStart w:id="210" w:name="_Toc78803332"/>
      <w:bookmarkStart w:id="211" w:name="_Toc152045540"/>
      <w:r>
        <w:rPr>
          <w:rFonts w:hint="eastAsia" w:ascii="宋体" w:hAnsi="宋体" w:eastAsia="宋体" w:cs="宋体"/>
          <w:color w:val="auto"/>
          <w:highlight w:val="none"/>
        </w:rPr>
        <w:t>1.10 投标预备会</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1.10.1投标人须知前附表规定召开投标预备会的，招标人按投标人须知前附表规定的时间和地点召开投标预备会，澄清投标人提出的问题。</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1.10.2投标人应在投标人须知前附表规定的时间前，将提出的问题送达招标人，以便招标人澄清。</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1.10.3招标人在投标人须知前附表规定的时间，将对投标人所提的问题进行澄清。该澄清内容为招标文件的组成部分。</w:t>
      </w:r>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bookmarkStart w:id="212" w:name="_Toc15058857"/>
      <w:bookmarkStart w:id="213" w:name="_Toc506107280"/>
      <w:bookmarkStart w:id="214" w:name="_Toc324404826"/>
      <w:bookmarkStart w:id="215" w:name="_Toc296602431"/>
      <w:bookmarkStart w:id="216" w:name="_Toc95223347"/>
      <w:bookmarkStart w:id="217" w:name="_Toc83301699"/>
      <w:bookmarkStart w:id="218" w:name="_Toc60061444"/>
      <w:bookmarkStart w:id="219" w:name="_Toc246996187"/>
      <w:bookmarkStart w:id="220" w:name="_Toc144974510"/>
      <w:bookmarkStart w:id="221" w:name="_Toc78803334"/>
      <w:bookmarkStart w:id="222" w:name="_Toc247085701"/>
      <w:bookmarkStart w:id="223" w:name="_Toc324404827"/>
      <w:bookmarkStart w:id="224" w:name="_Toc4012"/>
      <w:bookmarkStart w:id="225" w:name="_Toc15058858"/>
      <w:bookmarkStart w:id="226" w:name="_Toc506107281"/>
      <w:bookmarkStart w:id="227" w:name="_Toc152042318"/>
      <w:bookmarkStart w:id="228" w:name="_Toc246996930"/>
      <w:bookmarkStart w:id="229" w:name="_Toc152045542"/>
      <w:bookmarkStart w:id="230" w:name="_Toc35425065"/>
      <w:bookmarkStart w:id="231" w:name="_Toc179632560"/>
      <w:bookmarkStart w:id="232" w:name="_Toc35424899"/>
      <w:r>
        <w:rPr>
          <w:rFonts w:hint="eastAsia" w:ascii="宋体" w:hAnsi="宋体" w:eastAsia="宋体" w:cs="宋体"/>
          <w:color w:val="auto"/>
          <w:highlight w:val="none"/>
        </w:rPr>
        <w:t xml:space="preserve">1.11 </w:t>
      </w:r>
      <w:bookmarkEnd w:id="212"/>
      <w:bookmarkEnd w:id="213"/>
      <w:bookmarkEnd w:id="214"/>
      <w:bookmarkEnd w:id="215"/>
      <w:r>
        <w:rPr>
          <w:rFonts w:hint="eastAsia" w:ascii="宋体" w:hAnsi="宋体" w:eastAsia="宋体" w:cs="宋体"/>
          <w:color w:val="auto"/>
          <w:highlight w:val="none"/>
        </w:rPr>
        <w:t>分包</w:t>
      </w:r>
      <w:bookmarkEnd w:id="216"/>
      <w:bookmarkEnd w:id="217"/>
      <w:bookmarkEnd w:id="218"/>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1.11.1 投标人拟在中标后将中标项目的部分非主体、非关键性工作进行分包的，应符合以下规定：</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（1）分包内容要求：招标人允许分包或不允许分包的专业工程（如有）应在投标人须知前附表中载明；</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（2）接受分包的第三人资格要求：分包人的资格能力应与其分包工程的标准和规模相适应，且具备投标人须知前附表中规定的资格条件；</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（3）其他要求：</w:t>
      </w:r>
      <w:r>
        <w:rPr>
          <w:rFonts w:hint="eastAsia" w:ascii="宋体" w:hAnsi="宋体" w:cs="宋体"/>
          <w:color w:val="auto"/>
          <w:szCs w:val="21"/>
          <w:highlight w:val="none"/>
          <w:lang w:val="en-US" w:eastAsia="zh-CN"/>
        </w:rPr>
        <w:t>无。</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1.11.2中标人不得向他人转让中标项目，接受分包的人不得再次分包。中标人应就分包项目向招标人负责，接受分包的人就分包项目承担连带责任。</w:t>
      </w:r>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bookmarkStart w:id="233" w:name="_Toc95223348"/>
      <w:bookmarkStart w:id="234" w:name="_Toc83301700"/>
      <w:bookmarkStart w:id="235" w:name="_Toc60061445"/>
      <w:r>
        <w:rPr>
          <w:rFonts w:hint="eastAsia" w:ascii="宋体" w:hAnsi="宋体" w:eastAsia="宋体" w:cs="宋体"/>
          <w:color w:val="auto"/>
          <w:highlight w:val="none"/>
        </w:rPr>
        <w:t>1.12 偏离</w:t>
      </w:r>
      <w:bookmarkEnd w:id="233"/>
      <w:bookmarkEnd w:id="234"/>
      <w:bookmarkEnd w:id="235"/>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1.12.1投标文件偏离招标文件某些要求，视为投标文件存在偏差。偏差包括重大偏差和细微偏差。</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1.12.2投标文件应对招标文件的实质性要求和条件作出满足性或更有利于招标人的响应，否则，视为投标文件存在重大偏差，投标人的投标将被否决。</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投标文件存在第</w:t>
      </w: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章“评标办法”中所列任一无效投标情形的，均属于存在重大偏差。</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1.12.3投标文件中的下列偏差为细微偏差：</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（1）在按照第</w:t>
      </w: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章“评标办法”的规定对投标价进行算术性错误修正及其他错误修正后，最终投标报价未超过最高投标限价（如有）或未被否决投标的情况下，出现第</w:t>
      </w: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章“评标办法”规定的算术性错误和投标报价的其他错误；</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（2）投标文件个别文字有遗漏错误等不影响投标文件实质性内容的偏差。</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1.12.4评标委员会对投标文件中的细微偏差按如下规定处理：</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对于本章第 1.12.3 项（1）目所述的细微偏差，按照第</w:t>
      </w: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章“评标办法”的规定予以修正并要求投标人进行澄清；</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对于本章第 1.12.3 项（2）目所述的细微偏差，可要求投标人对细微偏差进行澄清。</w:t>
      </w:r>
    </w:p>
    <w:p>
      <w:pPr>
        <w:pStyle w:val="7"/>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 招标文件</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236" w:name="_Toc144974511"/>
      <w:bookmarkStart w:id="237" w:name="_Toc179632561"/>
      <w:bookmarkStart w:id="238" w:name="_Toc246996931"/>
      <w:bookmarkStart w:id="239" w:name="_Toc35425066"/>
      <w:bookmarkStart w:id="240" w:name="_Toc35424900"/>
      <w:bookmarkStart w:id="241" w:name="_Toc15058859"/>
      <w:bookmarkStart w:id="242" w:name="_Toc78803335"/>
      <w:bookmarkStart w:id="243" w:name="_Toc324404828"/>
      <w:bookmarkStart w:id="244" w:name="_Toc296602433"/>
      <w:bookmarkStart w:id="245" w:name="_Toc246996188"/>
      <w:bookmarkStart w:id="246" w:name="_Toc13213"/>
      <w:bookmarkStart w:id="247" w:name="_Toc152042319"/>
      <w:bookmarkStart w:id="248" w:name="_Toc152045543"/>
      <w:bookmarkStart w:id="249" w:name="_Toc247085702"/>
      <w:bookmarkStart w:id="250" w:name="_Toc506107282"/>
      <w:r>
        <w:rPr>
          <w:rFonts w:hint="eastAsia" w:ascii="宋体" w:hAnsi="宋体" w:eastAsia="宋体" w:cs="宋体"/>
          <w:color w:val="auto"/>
          <w:highlight w:val="none"/>
        </w:rPr>
        <w:t>2.1 招标文件的组成</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本招标文件包括：</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（1）招标公告；</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（2）投标人须知；</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（3）资格审查办法</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（4）评标办法；</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（5）合同条款及格式；</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（6）工程量清单； </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（7）图纸；</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）投标文件格式；</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）投标人须知前附表规定的其他材料。</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2.1.2 根据本章第1.10款、第2.2款和第2.3款对招标文件所作的澄清、修改，构成招标文件的组成部分。</w:t>
      </w:r>
    </w:p>
    <w:p>
      <w:pPr>
        <w:pStyle w:val="20"/>
        <w:pageBreakBefore w:val="0"/>
        <w:widowControl w:val="0"/>
        <w:kinsoku/>
        <w:wordWrap/>
        <w:overflowPunct/>
        <w:topLinePunct w:val="0"/>
        <w:autoSpaceDE/>
        <w:autoSpaceDN/>
        <w:bidi w:val="0"/>
        <w:adjustRightInd w:val="0"/>
        <w:snapToGrid w:val="0"/>
        <w:spacing w:after="0" w:line="420" w:lineRule="exact"/>
        <w:ind w:firstLine="420" w:firstLineChars="200"/>
        <w:textAlignment w:val="auto"/>
        <w:rPr>
          <w:color w:val="auto"/>
          <w:highlight w:val="none"/>
        </w:rPr>
      </w:pPr>
      <w:r>
        <w:rPr>
          <w:rFonts w:hint="eastAsia" w:ascii="宋体" w:hAnsi="宋体" w:cs="宋体"/>
          <w:color w:val="auto"/>
          <w:szCs w:val="21"/>
          <w:highlight w:val="none"/>
        </w:rPr>
        <w:t>2.1.3当招标文件、招标文件的澄清或修改等在同一内容的表述上不一致时，以最后发出的文件为准。</w:t>
      </w:r>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lang w:eastAsia="zh-CN"/>
        </w:rPr>
      </w:pPr>
      <w:bookmarkStart w:id="251" w:name="_Toc152042320"/>
      <w:bookmarkStart w:id="252" w:name="_Toc247085703"/>
      <w:bookmarkStart w:id="253" w:name="_Toc152045544"/>
      <w:bookmarkStart w:id="254" w:name="_Toc246996932"/>
      <w:bookmarkStart w:id="255" w:name="_Toc324404829"/>
      <w:bookmarkStart w:id="256" w:name="_Toc32239"/>
      <w:bookmarkStart w:id="257" w:name="_Toc144974512"/>
      <w:bookmarkStart w:id="258" w:name="_Toc506107283"/>
      <w:bookmarkStart w:id="259" w:name="_Toc179632562"/>
      <w:bookmarkStart w:id="260" w:name="_Toc35424901"/>
      <w:bookmarkStart w:id="261" w:name="_Toc78803336"/>
      <w:bookmarkStart w:id="262" w:name="_Toc296602434"/>
      <w:bookmarkStart w:id="263" w:name="_Toc15058860"/>
      <w:bookmarkStart w:id="264" w:name="_Toc35425067"/>
      <w:bookmarkStart w:id="265" w:name="_Toc246996189"/>
      <w:r>
        <w:rPr>
          <w:rFonts w:hint="eastAsia" w:ascii="宋体" w:hAnsi="宋体" w:eastAsia="宋体" w:cs="宋体"/>
          <w:color w:val="auto"/>
          <w:highlight w:val="none"/>
        </w:rPr>
        <w:t>2.2 招标文件的</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Pr>
          <w:rFonts w:hint="eastAsia" w:ascii="宋体" w:hAnsi="宋体" w:eastAsia="宋体" w:cs="宋体"/>
          <w:color w:val="auto"/>
          <w:highlight w:val="none"/>
          <w:lang w:val="en-US" w:eastAsia="zh-CN"/>
        </w:rPr>
        <w:t>异议</w:t>
      </w:r>
    </w:p>
    <w:p>
      <w:pPr>
        <w:keepNext w:val="0"/>
        <w:keepLines w:val="0"/>
        <w:pageBreakBefore w:val="0"/>
        <w:widowControl w:val="0"/>
        <w:kinsoku/>
        <w:wordWrap w:val="0"/>
        <w:overflowPunct/>
        <w:topLinePunct w:val="0"/>
        <w:autoSpaceDE/>
        <w:autoSpaceDN/>
        <w:bidi w:val="0"/>
        <w:adjustRightInd/>
        <w:snapToGrid/>
        <w:spacing w:line="42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Cs w:val="21"/>
          <w:highlight w:val="none"/>
        </w:rPr>
        <w:t>投标人或其他利害关系人投标人应仔细阅读和检查招标文件的全部内容，对招标文件有异议的，应在投标人须知前附表规定的</w:t>
      </w:r>
      <w:r>
        <w:rPr>
          <w:rFonts w:hint="eastAsia" w:ascii="宋体" w:hAnsi="宋体" w:eastAsia="宋体" w:cs="宋体"/>
          <w:color w:val="auto"/>
          <w:szCs w:val="21"/>
          <w:highlight w:val="none"/>
          <w:lang w:val="en-US" w:eastAsia="zh-CN"/>
        </w:rPr>
        <w:t>时间前以</w:t>
      </w:r>
      <w:r>
        <w:rPr>
          <w:rFonts w:hint="eastAsia" w:ascii="宋体" w:hAnsi="宋体" w:eastAsia="宋体" w:cs="宋体"/>
          <w:color w:val="auto"/>
          <w:szCs w:val="21"/>
          <w:highlight w:val="none"/>
        </w:rPr>
        <w:t>网上留言或书面形式提出。招标人将在</w:t>
      </w:r>
      <w:r>
        <w:rPr>
          <w:rFonts w:hint="eastAsia" w:ascii="宋体" w:hAnsi="宋体" w:cs="宋体"/>
          <w:color w:val="auto"/>
          <w:szCs w:val="21"/>
          <w:highlight w:val="none"/>
          <w:lang w:eastAsia="zh-CN"/>
        </w:rPr>
        <w:t>“滁州市兴滁矿业投资集团有限公司”（http://www.xckytz.com/）、</w:t>
      </w:r>
      <w:r>
        <w:rPr>
          <w:rFonts w:hint="eastAsia" w:ascii="宋体" w:hAnsi="宋体" w:cs="宋体"/>
          <w:color w:val="auto"/>
          <w:kern w:val="2"/>
          <w:sz w:val="21"/>
          <w:szCs w:val="21"/>
          <w:highlight w:val="none"/>
          <w:lang w:val="en-US" w:eastAsia="zh-CN" w:bidi="ar"/>
        </w:rPr>
        <w:t>“</w:t>
      </w:r>
      <w:r>
        <w:rPr>
          <w:rFonts w:hint="eastAsia" w:ascii="宋体" w:hAnsi="宋体" w:cs="宋体"/>
          <w:kern w:val="2"/>
          <w:sz w:val="21"/>
          <w:szCs w:val="21"/>
          <w:highlight w:val="none"/>
          <w:lang w:val="en-US" w:eastAsia="zh-CN" w:bidi="ar"/>
        </w:rPr>
        <w:t>滁州市城投工程咨询管理有限公司</w:t>
      </w:r>
      <w:r>
        <w:rPr>
          <w:rFonts w:hint="eastAsia" w:ascii="宋体" w:hAnsi="宋体" w:cs="宋体"/>
          <w:color w:val="auto"/>
          <w:kern w:val="2"/>
          <w:sz w:val="21"/>
          <w:szCs w:val="21"/>
          <w:highlight w:val="none"/>
          <w:lang w:val="en-US" w:eastAsia="zh-CN" w:bidi="ar"/>
        </w:rPr>
        <w:t>”（https://www.czctgczx.com/）</w:t>
      </w:r>
      <w:r>
        <w:rPr>
          <w:rFonts w:hint="eastAsia" w:ascii="宋体" w:hAnsi="宋体" w:cs="宋体"/>
          <w:color w:val="auto"/>
          <w:szCs w:val="21"/>
          <w:highlight w:val="none"/>
        </w:rPr>
        <w:t xml:space="preserve">发布，但不指明澄清问题的来源。 </w:t>
      </w:r>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lang w:eastAsia="zh-CN"/>
        </w:rPr>
      </w:pPr>
      <w:bookmarkStart w:id="266" w:name="_Toc506107284"/>
      <w:bookmarkStart w:id="267" w:name="_Toc324404830"/>
      <w:bookmarkStart w:id="268" w:name="_Toc144974513"/>
      <w:bookmarkStart w:id="269" w:name="_Toc78803337"/>
      <w:bookmarkStart w:id="270" w:name="_Toc35425068"/>
      <w:bookmarkStart w:id="271" w:name="_Toc35424902"/>
      <w:bookmarkStart w:id="272" w:name="_Toc246996190"/>
      <w:bookmarkStart w:id="273" w:name="_Toc152042321"/>
      <w:bookmarkStart w:id="274" w:name="_Toc246996933"/>
      <w:bookmarkStart w:id="275" w:name="_Toc152045545"/>
      <w:bookmarkStart w:id="276" w:name="_Toc247085704"/>
      <w:bookmarkStart w:id="277" w:name="_Toc296602435"/>
      <w:bookmarkStart w:id="278" w:name="_Toc15058861"/>
      <w:bookmarkStart w:id="279" w:name="_Toc24633"/>
      <w:bookmarkStart w:id="280" w:name="_Toc179632563"/>
      <w:r>
        <w:rPr>
          <w:rFonts w:hint="eastAsia" w:ascii="宋体" w:hAnsi="宋体" w:eastAsia="宋体" w:cs="宋体"/>
          <w:color w:val="auto"/>
          <w:highlight w:val="none"/>
        </w:rPr>
        <w:t>2.3 招标文件的</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Pr>
          <w:rFonts w:hint="eastAsia" w:ascii="宋体" w:hAnsi="宋体" w:eastAsia="宋体" w:cs="宋体"/>
          <w:color w:val="auto"/>
          <w:highlight w:val="none"/>
          <w:lang w:val="en-US" w:eastAsia="zh-CN"/>
        </w:rPr>
        <w:t>澄清</w:t>
      </w:r>
    </w:p>
    <w:p>
      <w:pPr>
        <w:keepNext w:val="0"/>
        <w:keepLines w:val="0"/>
        <w:pageBreakBefore w:val="0"/>
        <w:widowControl w:val="0"/>
        <w:kinsoku/>
        <w:wordWrap w:val="0"/>
        <w:overflowPunct/>
        <w:topLinePunct w:val="0"/>
        <w:autoSpaceDE/>
        <w:autoSpaceDN/>
        <w:bidi w:val="0"/>
        <w:adjustRightInd/>
        <w:snapToGrid/>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招标人可以澄清招标文件，并以投标人须知前附表规定澄清的方式在</w:t>
      </w:r>
      <w:r>
        <w:rPr>
          <w:rFonts w:hint="eastAsia" w:ascii="宋体" w:hAnsi="宋体" w:cs="宋体"/>
          <w:color w:val="auto"/>
          <w:szCs w:val="21"/>
          <w:highlight w:val="none"/>
          <w:lang w:eastAsia="zh-CN"/>
        </w:rPr>
        <w:t>“滁州市兴滁矿业投资集团有限公司”（http://www.xckytz.com/）、</w:t>
      </w:r>
      <w:r>
        <w:rPr>
          <w:rFonts w:hint="eastAsia" w:ascii="宋体" w:hAnsi="宋体" w:cs="宋体"/>
          <w:color w:val="auto"/>
          <w:kern w:val="2"/>
          <w:sz w:val="21"/>
          <w:szCs w:val="21"/>
          <w:highlight w:val="none"/>
          <w:lang w:val="en-US" w:eastAsia="zh-CN" w:bidi="ar"/>
        </w:rPr>
        <w:t>“</w:t>
      </w:r>
      <w:r>
        <w:rPr>
          <w:rFonts w:hint="eastAsia" w:ascii="宋体" w:hAnsi="宋体" w:cs="宋体"/>
          <w:kern w:val="2"/>
          <w:sz w:val="21"/>
          <w:szCs w:val="21"/>
          <w:highlight w:val="none"/>
          <w:lang w:val="en-US" w:eastAsia="zh-CN" w:bidi="ar"/>
        </w:rPr>
        <w:t>滁州市城投工程咨询管理有限公司</w:t>
      </w:r>
      <w:r>
        <w:rPr>
          <w:rFonts w:hint="eastAsia" w:ascii="宋体" w:hAnsi="宋体" w:cs="宋体"/>
          <w:color w:val="auto"/>
          <w:kern w:val="2"/>
          <w:sz w:val="21"/>
          <w:szCs w:val="21"/>
          <w:highlight w:val="none"/>
          <w:lang w:val="en-US" w:eastAsia="zh-CN" w:bidi="ar"/>
        </w:rPr>
        <w:t>”（https://www.czctgczx.com/）</w:t>
      </w:r>
      <w:r>
        <w:rPr>
          <w:rFonts w:hint="eastAsia" w:ascii="宋体" w:hAnsi="宋体" w:cs="宋体"/>
          <w:color w:val="auto"/>
          <w:szCs w:val="21"/>
          <w:highlight w:val="none"/>
        </w:rPr>
        <w:t>发布。但如果修改内容影响投标文件编制的，将相应延长投标截止时间。</w:t>
      </w:r>
    </w:p>
    <w:p>
      <w:pPr>
        <w:pStyle w:val="7"/>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color w:val="auto"/>
          <w:sz w:val="24"/>
          <w:szCs w:val="24"/>
          <w:highlight w:val="none"/>
        </w:rPr>
      </w:pPr>
      <w:bookmarkStart w:id="281" w:name="_Toc506107285"/>
      <w:bookmarkStart w:id="282" w:name="_Toc15058863"/>
      <w:bookmarkStart w:id="283" w:name="_Toc246996934"/>
      <w:bookmarkStart w:id="284" w:name="_Toc144974514"/>
      <w:bookmarkStart w:id="285" w:name="_Toc6464"/>
      <w:bookmarkStart w:id="286" w:name="_Toc35424904"/>
      <w:bookmarkStart w:id="287" w:name="_Toc35425070"/>
      <w:bookmarkStart w:id="288" w:name="_Toc324404832"/>
      <w:bookmarkStart w:id="289" w:name="_Toc179632564"/>
      <w:bookmarkStart w:id="290" w:name="_Toc247085705"/>
      <w:bookmarkStart w:id="291" w:name="_Toc152045546"/>
      <w:bookmarkStart w:id="292" w:name="_Toc246996191"/>
      <w:bookmarkStart w:id="293" w:name="_Toc152042322"/>
      <w:bookmarkStart w:id="294" w:name="_Toc78803339"/>
      <w:r>
        <w:rPr>
          <w:rFonts w:hint="eastAsia" w:ascii="宋体" w:hAnsi="宋体" w:eastAsia="宋体" w:cs="宋体"/>
          <w:color w:val="auto"/>
          <w:sz w:val="24"/>
          <w:szCs w:val="24"/>
          <w:highlight w:val="none"/>
        </w:rPr>
        <w:t>3. 投标文件</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295" w:name="_Toc246996192"/>
      <w:bookmarkStart w:id="296" w:name="_Toc35425071"/>
      <w:bookmarkStart w:id="297" w:name="_Toc35424905"/>
      <w:bookmarkStart w:id="298" w:name="_Toc15058864"/>
      <w:bookmarkStart w:id="299" w:name="_Toc506107286"/>
      <w:bookmarkStart w:id="300" w:name="_Toc247085706"/>
      <w:bookmarkStart w:id="301" w:name="_Toc296602437"/>
      <w:bookmarkStart w:id="302" w:name="_Toc179632565"/>
      <w:bookmarkStart w:id="303" w:name="_Toc246996935"/>
      <w:bookmarkStart w:id="304" w:name="_Toc324404833"/>
      <w:bookmarkStart w:id="305" w:name="_Toc152045547"/>
      <w:bookmarkStart w:id="306" w:name="_Toc78803340"/>
      <w:bookmarkStart w:id="307" w:name="_Toc144974515"/>
      <w:bookmarkStart w:id="308" w:name="_Toc152042323"/>
      <w:bookmarkStart w:id="309" w:name="_Toc157"/>
      <w:r>
        <w:rPr>
          <w:rFonts w:hint="eastAsia" w:ascii="宋体" w:hAnsi="宋体" w:eastAsia="宋体" w:cs="宋体"/>
          <w:color w:val="auto"/>
          <w:highlight w:val="none"/>
        </w:rPr>
        <w:t>3.1 投标文件的组成</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投标文件的具体组成部分及材料要求详见本招标文件第</w:t>
      </w:r>
      <w:r>
        <w:rPr>
          <w:rFonts w:hint="eastAsia" w:ascii="宋体" w:hAnsi="宋体" w:cs="宋体"/>
          <w:color w:val="auto"/>
          <w:szCs w:val="21"/>
          <w:highlight w:val="none"/>
          <w:lang w:val="en-US" w:eastAsia="zh-CN"/>
        </w:rPr>
        <w:t>七</w:t>
      </w:r>
      <w:r>
        <w:rPr>
          <w:rFonts w:hint="eastAsia" w:ascii="宋体" w:hAnsi="宋体" w:cs="宋体"/>
          <w:color w:val="auto"/>
          <w:szCs w:val="21"/>
          <w:highlight w:val="none"/>
        </w:rPr>
        <w:t>章“投标文件格式”。</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310" w:name="_Toc246996193"/>
      <w:bookmarkStart w:id="311" w:name="_Toc78803341"/>
      <w:bookmarkStart w:id="312" w:name="_Toc506107287"/>
      <w:bookmarkStart w:id="313" w:name="_Toc324404834"/>
      <w:bookmarkStart w:id="314" w:name="_Toc179632566"/>
      <w:bookmarkStart w:id="315" w:name="_Toc35425072"/>
      <w:bookmarkStart w:id="316" w:name="_Toc296602438"/>
      <w:bookmarkStart w:id="317" w:name="_Toc35424906"/>
      <w:bookmarkStart w:id="318" w:name="_Toc6829"/>
      <w:bookmarkStart w:id="319" w:name="_Toc144974516"/>
      <w:bookmarkStart w:id="320" w:name="_Toc152045548"/>
      <w:bookmarkStart w:id="321" w:name="_Toc247085707"/>
      <w:bookmarkStart w:id="322" w:name="_Toc246996936"/>
      <w:bookmarkStart w:id="323" w:name="_Toc152042324"/>
      <w:bookmarkStart w:id="324" w:name="_Toc15058865"/>
      <w:r>
        <w:rPr>
          <w:rFonts w:hint="eastAsia" w:ascii="宋体" w:hAnsi="宋体" w:eastAsia="宋体" w:cs="宋体"/>
          <w:color w:val="auto"/>
          <w:highlight w:val="none"/>
        </w:rPr>
        <w:t>3.2 投标报价</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bookmarkStart w:id="325" w:name="_Toc35425073"/>
      <w:bookmarkStart w:id="326" w:name="_Toc324404835"/>
      <w:bookmarkStart w:id="327" w:name="_Toc179632567"/>
      <w:bookmarkStart w:id="328" w:name="_Toc78803342"/>
      <w:bookmarkStart w:id="329" w:name="_Toc506107288"/>
      <w:bookmarkStart w:id="330" w:name="_Toc144974517"/>
      <w:bookmarkStart w:id="331" w:name="_Toc246996194"/>
      <w:bookmarkStart w:id="332" w:name="_Toc35424907"/>
      <w:bookmarkStart w:id="333" w:name="_Toc152045549"/>
      <w:bookmarkStart w:id="334" w:name="_Toc152042325"/>
      <w:bookmarkStart w:id="335" w:name="_Toc31735"/>
      <w:bookmarkStart w:id="336" w:name="_Toc246996937"/>
      <w:bookmarkStart w:id="337" w:name="_Toc296602439"/>
      <w:bookmarkStart w:id="338" w:name="_Toc247085708"/>
      <w:bookmarkStart w:id="339" w:name="_Toc15058866"/>
      <w:r>
        <w:rPr>
          <w:rFonts w:hint="eastAsia" w:ascii="宋体" w:hAnsi="宋体" w:eastAsia="宋体" w:cs="宋体"/>
          <w:color w:val="auto"/>
          <w:szCs w:val="21"/>
          <w:highlight w:val="none"/>
        </w:rPr>
        <w:t>3.2.1投标报价应包括国家规定的增值税税金，除投标人须知前附表另有规定外，增值税税金按一般计税方法计算。投标人应按第</w:t>
      </w:r>
      <w:r>
        <w:rPr>
          <w:rFonts w:hint="eastAsia" w:ascii="宋体" w:hAnsi="宋体" w:eastAsia="宋体" w:cs="宋体"/>
          <w:color w:val="auto"/>
          <w:szCs w:val="21"/>
          <w:highlight w:val="none"/>
          <w:lang w:val="en-US" w:eastAsia="zh-CN"/>
        </w:rPr>
        <w:t>六</w:t>
      </w:r>
      <w:r>
        <w:rPr>
          <w:rFonts w:hint="eastAsia" w:ascii="宋体" w:hAnsi="宋体" w:eastAsia="宋体" w:cs="宋体"/>
          <w:color w:val="auto"/>
          <w:szCs w:val="21"/>
          <w:highlight w:val="none"/>
        </w:rPr>
        <w:t>章“投标文件格式”的要求在投标函中进行报价并填写工程量清单相应表格。</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3.2.2投标人应充分了解本项目的总体情况以及影响投标报价的其他要素。</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3.2.3投标人在投标截止时间前修改投标函中的投标报价总额，应同时修改“已标价工程量清单”中的相应报价，投标报价总额为各分项金额之和。此修改须符合本章第4.4款的有关要求。</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3.2.4招标人设有最高投标限价的，投标人的投标报价不得超过最高投标限价，最高投标限价在投标人须知前附表中载明。</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r>
        <w:rPr>
          <w:rFonts w:hint="eastAsia" w:ascii="宋体" w:hAnsi="宋体" w:eastAsia="宋体" w:cs="宋体"/>
          <w:color w:val="auto"/>
          <w:highlight w:val="none"/>
        </w:rPr>
        <w:t>3.3 投标有效期</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除投标人须知前附表另有规定外，投标有效期为90天。</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3.3.2在投标有效期内，投标人撤销或修改其投标文件的，应承担招标文件和法律规定的责任。</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bookmarkStart w:id="340" w:name="_Toc15058867"/>
      <w:bookmarkStart w:id="341" w:name="_Toc144974518"/>
      <w:bookmarkStart w:id="342" w:name="_Toc246996938"/>
      <w:bookmarkStart w:id="343" w:name="_Toc78803343"/>
      <w:bookmarkStart w:id="344" w:name="_Toc10714"/>
      <w:bookmarkStart w:id="345" w:name="_Toc247085709"/>
      <w:bookmarkStart w:id="346" w:name="_Toc35425074"/>
      <w:bookmarkStart w:id="347" w:name="_Toc296602440"/>
      <w:bookmarkStart w:id="348" w:name="_Toc246996195"/>
      <w:bookmarkStart w:id="349" w:name="_Toc324404836"/>
      <w:bookmarkStart w:id="350" w:name="_Toc152045550"/>
      <w:bookmarkStart w:id="351" w:name="_Toc506107289"/>
      <w:bookmarkStart w:id="352" w:name="_Toc152042326"/>
      <w:bookmarkStart w:id="353" w:name="_Toc35424908"/>
      <w:bookmarkStart w:id="354" w:name="_Toc179632568"/>
      <w:r>
        <w:rPr>
          <w:rFonts w:hint="eastAsia" w:ascii="宋体" w:hAnsi="宋体" w:eastAsia="宋体" w:cs="宋体"/>
          <w:color w:val="auto"/>
          <w:highlight w:val="none"/>
        </w:rPr>
        <w:t>3.4 投标保证金</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3.4.1 投标人须知前附表规定递交投标保证金的，投标人在递交投标文件的同时，应按投标人须知前附表规定的金额、担保形式规定的或者事先经过招标人认可的保证金格式递交保证金，并作为其投标文件的组成部分。联合体投标的，其投标保证金由牵头人递交，并应符合投标人须知前附表的规定。</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论采取何种形式的投标保证金，投标保证金有效期均应与投标有效期一致（采用保函的保证期截止时间不得早于该项目投标有效期的截止时间）。招标人如果按本章第3.3.3项的规定延长了投标有效期，则投标保证金的有效期也相应延长。</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3.4.2 投标人不按本章第3.4.1项要求提交投标保证金的，评标委员会将否决其投标。</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3.4.</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有下列情形之一的，投标保证金将不予退还： </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（1）投标截止后投标人撤销投标文件的；</w:t>
      </w:r>
    </w:p>
    <w:p>
      <w:pPr>
        <w:pageBreakBefore w:val="0"/>
        <w:widowControl w:val="0"/>
        <w:kinsoku/>
        <w:wordWrap/>
        <w:overflowPunct/>
        <w:topLinePunct w:val="0"/>
        <w:autoSpaceDE/>
        <w:autoSpaceDN/>
        <w:bidi w:val="0"/>
        <w:spacing w:line="420" w:lineRule="exact"/>
        <w:ind w:firstLine="420" w:firstLineChars="200"/>
        <w:jc w:val="left"/>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（2）中标人无正当理由不与招标人订立合同，在签订合同时向招标人提出附加条件，或者不按照招标文件要求提交履约保证金的。</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355" w:name="_Toc15058868"/>
      <w:bookmarkStart w:id="356" w:name="_Toc35424909"/>
      <w:bookmarkStart w:id="357" w:name="_Toc35425075"/>
      <w:bookmarkStart w:id="358" w:name="_Toc78803344"/>
      <w:bookmarkStart w:id="359" w:name="_Toc324404837"/>
      <w:bookmarkStart w:id="360" w:name="_Toc296602442"/>
      <w:bookmarkStart w:id="361" w:name="_Toc506107290"/>
      <w:bookmarkStart w:id="362" w:name="_Toc19037"/>
      <w:bookmarkStart w:id="363" w:name="_Toc246996940"/>
      <w:bookmarkStart w:id="364" w:name="_Toc152045553"/>
      <w:bookmarkStart w:id="365" w:name="_Toc152042329"/>
      <w:bookmarkStart w:id="366" w:name="_Toc144974521"/>
      <w:bookmarkStart w:id="367" w:name="_Toc246996197"/>
      <w:bookmarkStart w:id="368" w:name="_Toc179632571"/>
      <w:bookmarkStart w:id="369" w:name="_Toc247085711"/>
      <w:r>
        <w:rPr>
          <w:rFonts w:hint="eastAsia" w:ascii="宋体" w:hAnsi="宋体" w:eastAsia="宋体" w:cs="宋体"/>
          <w:color w:val="auto"/>
          <w:highlight w:val="none"/>
        </w:rPr>
        <w:t>3.5投标文件的编制</w:t>
      </w:r>
      <w:bookmarkEnd w:id="355"/>
      <w:bookmarkEnd w:id="356"/>
      <w:bookmarkEnd w:id="357"/>
      <w:bookmarkEnd w:id="358"/>
      <w:bookmarkEnd w:id="359"/>
      <w:bookmarkEnd w:id="360"/>
      <w:bookmarkEnd w:id="361"/>
      <w:bookmarkEnd w:id="362"/>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3.5.1投标文件应按第</w:t>
      </w:r>
      <w:r>
        <w:rPr>
          <w:rFonts w:hint="eastAsia" w:ascii="宋体" w:hAnsi="宋体" w:eastAsia="宋体" w:cs="宋体"/>
          <w:color w:val="auto"/>
          <w:szCs w:val="21"/>
          <w:highlight w:val="none"/>
          <w:lang w:val="en-US" w:eastAsia="zh-CN"/>
        </w:rPr>
        <w:t>六</w:t>
      </w:r>
      <w:r>
        <w:rPr>
          <w:rFonts w:hint="eastAsia" w:ascii="宋体" w:hAnsi="宋体" w:eastAsia="宋体" w:cs="宋体"/>
          <w:color w:val="auto"/>
          <w:szCs w:val="21"/>
          <w:highlight w:val="none"/>
        </w:rPr>
        <w:t>章“投标文件格式”进行编写，如有必要，可以增加附页，作为投标文件的组成部分。其中，投标函在满足招标文件实质性要求的基础上，可以提出比招标文件要求更有利于招标人的承诺。施工组织设计编制的特殊要求见投标人须知前附表。</w:t>
      </w:r>
    </w:p>
    <w:bookmarkEnd w:id="363"/>
    <w:bookmarkEnd w:id="364"/>
    <w:bookmarkEnd w:id="365"/>
    <w:bookmarkEnd w:id="366"/>
    <w:bookmarkEnd w:id="367"/>
    <w:bookmarkEnd w:id="368"/>
    <w:bookmarkEnd w:id="369"/>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bookmarkStart w:id="370" w:name="_Toc246996199"/>
      <w:bookmarkStart w:id="371" w:name="_Toc179632573"/>
      <w:bookmarkStart w:id="372" w:name="_Toc144974523"/>
      <w:bookmarkStart w:id="373" w:name="_Toc152045555"/>
      <w:bookmarkStart w:id="374" w:name="_Toc246996942"/>
      <w:bookmarkStart w:id="375" w:name="_Toc324404838"/>
      <w:bookmarkStart w:id="376" w:name="_Toc247085713"/>
      <w:bookmarkStart w:id="377" w:name="_Toc152042331"/>
      <w:r>
        <w:rPr>
          <w:rFonts w:hint="eastAsia" w:ascii="宋体" w:hAnsi="宋体" w:eastAsia="宋体" w:cs="宋体"/>
          <w:color w:val="auto"/>
          <w:szCs w:val="21"/>
          <w:highlight w:val="none"/>
        </w:rPr>
        <w:t>3.5.2本次投标不需要提供纸质投标文件，投标人应按照</w:t>
      </w:r>
      <w:r>
        <w:rPr>
          <w:rFonts w:hint="eastAsia" w:ascii="宋体" w:hAnsi="宋体" w:eastAsia="宋体" w:cs="宋体"/>
          <w:color w:val="auto"/>
          <w:szCs w:val="21"/>
          <w:highlight w:val="none"/>
          <w:lang w:val="en-US" w:eastAsia="zh-CN"/>
        </w:rPr>
        <w:t>招标文件</w:t>
      </w:r>
      <w:r>
        <w:rPr>
          <w:rFonts w:hint="eastAsia" w:ascii="宋体" w:hAnsi="宋体" w:eastAsia="宋体" w:cs="宋体"/>
          <w:color w:val="auto"/>
          <w:szCs w:val="21"/>
          <w:highlight w:val="none"/>
        </w:rPr>
        <w:t>的要求，制作、签章、</w:t>
      </w:r>
      <w:r>
        <w:rPr>
          <w:rFonts w:hint="eastAsia" w:ascii="宋体" w:hAnsi="宋体" w:eastAsia="宋体" w:cs="宋体"/>
          <w:color w:val="auto"/>
          <w:szCs w:val="21"/>
          <w:highlight w:val="none"/>
          <w:lang w:val="en-US" w:eastAsia="zh-CN"/>
        </w:rPr>
        <w:t>发送</w:t>
      </w:r>
      <w:r>
        <w:rPr>
          <w:rFonts w:hint="eastAsia" w:ascii="宋体" w:hAnsi="宋体" w:eastAsia="宋体" w:cs="宋体"/>
          <w:color w:val="auto"/>
          <w:szCs w:val="21"/>
          <w:highlight w:val="none"/>
        </w:rPr>
        <w:t>加密的电子投标文件。</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3.5.3投标文件应当对招标文件有关工期、投标有效期、质量要求、技术标准和要求、招标范围等实质性内容作出响应。</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3.5.</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招标人有权核查投标人在投标文件中提供的资料，若在评标期间发现投标人提供了虚假资料，其投标将被否决；若在签订合同前发现作为中标候选人的投标人提供了虚假资料，招标人有权取消其中标资格；如果签订合同后发现中标人提供了虚假材料，招标人有权解除合同。同时招标人将投标人上述弄虚作假行为上报</w:t>
      </w:r>
      <w:r>
        <w:rPr>
          <w:rFonts w:hint="eastAsia" w:ascii="宋体" w:hAnsi="宋体" w:eastAsia="宋体" w:cs="宋体"/>
          <w:color w:val="auto"/>
          <w:szCs w:val="21"/>
          <w:highlight w:val="none"/>
          <w:lang w:val="en-US" w:eastAsia="zh-CN"/>
        </w:rPr>
        <w:t>相关</w:t>
      </w:r>
      <w:r>
        <w:rPr>
          <w:rFonts w:hint="eastAsia" w:ascii="宋体" w:hAnsi="宋体" w:eastAsia="宋体" w:cs="宋体"/>
          <w:color w:val="auto"/>
          <w:szCs w:val="21"/>
          <w:highlight w:val="none"/>
        </w:rPr>
        <w:t>部门处理。</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3.5.</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投标文件的制作应满足以下规定：</w:t>
      </w:r>
    </w:p>
    <w:p>
      <w:pPr>
        <w:pageBreakBefore w:val="0"/>
        <w:widowControl w:val="0"/>
        <w:numPr>
          <w:ilvl w:val="0"/>
          <w:numId w:val="2"/>
        </w:numPr>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招标文件中“签章”是指签字或盖章。在第</w:t>
      </w:r>
      <w:r>
        <w:rPr>
          <w:rFonts w:hint="eastAsia" w:ascii="宋体" w:hAnsi="宋体" w:eastAsia="宋体" w:cs="宋体"/>
          <w:color w:val="auto"/>
          <w:szCs w:val="21"/>
          <w:highlight w:val="none"/>
          <w:lang w:val="en-US" w:eastAsia="zh-CN"/>
        </w:rPr>
        <w:t>六</w:t>
      </w:r>
      <w:r>
        <w:rPr>
          <w:rFonts w:hint="eastAsia" w:ascii="宋体" w:hAnsi="宋体" w:eastAsia="宋体" w:cs="宋体"/>
          <w:color w:val="auto"/>
          <w:szCs w:val="21"/>
          <w:highlight w:val="none"/>
        </w:rPr>
        <w:t>章“投标文件格式”中要求签章处，投标人应加盖投标人单位电子印章和法定代表人的个人电子印章/电子签名章或直接上传加盖投标人单位印章和法定代表人的印章（或签字）的原件彩色扫描件。</w:t>
      </w:r>
    </w:p>
    <w:p>
      <w:pPr>
        <w:pageBreakBefore w:val="0"/>
        <w:widowControl w:val="0"/>
        <w:numPr>
          <w:ilvl w:val="0"/>
          <w:numId w:val="2"/>
        </w:numPr>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投标人应对投标文件进行加密，形成加密的投标文件。</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3.5.</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因投标人自身原因而导致投标文件无法</w:t>
      </w:r>
      <w:r>
        <w:rPr>
          <w:rFonts w:hint="eastAsia" w:ascii="宋体" w:hAnsi="宋体" w:eastAsia="宋体" w:cs="宋体"/>
          <w:color w:val="auto"/>
          <w:szCs w:val="21"/>
          <w:highlight w:val="none"/>
          <w:lang w:val="en-US" w:eastAsia="zh-CN"/>
        </w:rPr>
        <w:t>打开、读取</w:t>
      </w:r>
      <w:r>
        <w:rPr>
          <w:rFonts w:hint="eastAsia" w:ascii="宋体" w:hAnsi="宋体" w:eastAsia="宋体" w:cs="宋体"/>
          <w:color w:val="auto"/>
          <w:szCs w:val="21"/>
          <w:highlight w:val="none"/>
        </w:rPr>
        <w:t>，该投标视为无效投标，投标人自行承担由此导致的全部责任。</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3.5.</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投标人中标后须递交与网上电子投标文件完全一致的纸质版投标文件，在领取中标通知书时，一并递交给招标代理机构</w:t>
      </w:r>
      <w:r>
        <w:rPr>
          <w:rFonts w:hint="eastAsia" w:ascii="宋体" w:hAnsi="宋体" w:eastAsia="宋体" w:cs="宋体"/>
          <w:color w:val="auto"/>
          <w:szCs w:val="21"/>
          <w:highlight w:val="none"/>
          <w:lang w:eastAsia="zh-CN"/>
        </w:rPr>
        <w:t>。</w:t>
      </w:r>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3.6 备选投标方案</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3.6.1除投标人须知前附表规定允许外，投标人不得递交备选投标方案，否则其投标将被否决。</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3.6.2允许投标人递交备选投标方案的，只有中标人所递交的备选投标方案方可予以考虑。评标委员会认为中标人的备选投标方案优于其按照招标文件要求编制的投标方案的，招标人可以接受该备选投标方案。</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3.6.3投标人提供两个或两个以上投标报价，或在投标文件中提供一个报价，但同时提供两个或两个以上施工组织设计的，视为提供备选方案。</w:t>
      </w:r>
    </w:p>
    <w:p>
      <w:pPr>
        <w:pStyle w:val="7"/>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color w:val="auto"/>
          <w:sz w:val="24"/>
          <w:szCs w:val="24"/>
          <w:highlight w:val="none"/>
        </w:rPr>
      </w:pPr>
      <w:bookmarkStart w:id="378" w:name="_Toc506107291"/>
      <w:bookmarkStart w:id="379" w:name="_Toc19455"/>
      <w:bookmarkStart w:id="380" w:name="_Toc35424910"/>
      <w:bookmarkStart w:id="381" w:name="_Toc15058869"/>
      <w:bookmarkStart w:id="382" w:name="_Toc78803345"/>
      <w:bookmarkStart w:id="383" w:name="_Toc35425076"/>
      <w:r>
        <w:rPr>
          <w:rFonts w:hint="eastAsia" w:ascii="宋体" w:hAnsi="宋体" w:eastAsia="宋体" w:cs="宋体"/>
          <w:color w:val="auto"/>
          <w:sz w:val="24"/>
          <w:szCs w:val="24"/>
          <w:highlight w:val="none"/>
        </w:rPr>
        <w:t>4.投标</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pPr>
        <w:pStyle w:val="7"/>
        <w:pageBreakBefore w:val="0"/>
        <w:widowControl w:val="0"/>
        <w:kinsoku/>
        <w:wordWrap/>
        <w:overflowPunct/>
        <w:topLinePunct w:val="0"/>
        <w:autoSpaceDE/>
        <w:autoSpaceDN/>
        <w:bidi w:val="0"/>
        <w:spacing w:line="420" w:lineRule="exact"/>
        <w:ind w:firstLine="422" w:firstLineChars="200"/>
        <w:textAlignment w:val="auto"/>
        <w:rPr>
          <w:rFonts w:hint="default" w:ascii="宋体" w:hAnsi="宋体" w:eastAsia="宋体" w:cs="宋体"/>
          <w:color w:val="auto"/>
          <w:highlight w:val="none"/>
          <w:lang w:val="en-US" w:eastAsia="zh-CN"/>
        </w:rPr>
      </w:pPr>
      <w:bookmarkStart w:id="384" w:name="_Toc35425077"/>
      <w:bookmarkStart w:id="385" w:name="_Toc15058870"/>
      <w:bookmarkStart w:id="386" w:name="_Toc14473"/>
      <w:bookmarkStart w:id="387" w:name="_Toc35424911"/>
      <w:bookmarkStart w:id="388" w:name="_Toc78803346"/>
      <w:r>
        <w:rPr>
          <w:rFonts w:hint="eastAsia" w:ascii="宋体" w:hAnsi="宋体" w:eastAsia="宋体" w:cs="宋体"/>
          <w:color w:val="auto"/>
          <w:highlight w:val="none"/>
        </w:rPr>
        <w:t>4.1投标文件</w:t>
      </w:r>
      <w:bookmarkEnd w:id="384"/>
      <w:bookmarkEnd w:id="385"/>
      <w:bookmarkEnd w:id="386"/>
      <w:bookmarkEnd w:id="387"/>
      <w:bookmarkEnd w:id="388"/>
      <w:r>
        <w:rPr>
          <w:rFonts w:hint="eastAsia" w:ascii="宋体" w:hAnsi="宋体" w:eastAsia="宋体" w:cs="宋体"/>
          <w:color w:val="auto"/>
          <w:highlight w:val="none"/>
          <w:lang w:val="en-US" w:eastAsia="zh-CN"/>
        </w:rPr>
        <w:t>的提交</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4.1.1</w:t>
      </w:r>
      <w:r>
        <w:rPr>
          <w:rFonts w:hint="eastAsia" w:ascii="宋体" w:hAnsi="宋体" w:cs="宋体"/>
          <w:color w:val="auto"/>
          <w:szCs w:val="21"/>
          <w:highlight w:val="none"/>
          <w:lang w:val="en-US" w:eastAsia="zh-CN"/>
        </w:rPr>
        <w:t>具体要求详见投标须知前附表</w:t>
      </w:r>
      <w:r>
        <w:rPr>
          <w:rFonts w:hint="eastAsia" w:ascii="宋体" w:hAnsi="宋体" w:eastAsia="宋体" w:cs="宋体"/>
          <w:color w:val="auto"/>
          <w:szCs w:val="21"/>
          <w:highlight w:val="none"/>
          <w:u w:val="none"/>
          <w:lang w:val="en-US" w:eastAsia="zh-CN"/>
        </w:rPr>
        <w:t>。</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389" w:name="_Toc152045558"/>
      <w:bookmarkStart w:id="390" w:name="_Toc144974526"/>
      <w:bookmarkStart w:id="391" w:name="_Toc152042334"/>
      <w:bookmarkStart w:id="392" w:name="_Toc15058873"/>
      <w:bookmarkStart w:id="393" w:name="_Toc35424914"/>
      <w:bookmarkStart w:id="394" w:name="_Toc35425080"/>
      <w:bookmarkStart w:id="395" w:name="_Toc246996202"/>
      <w:bookmarkStart w:id="396" w:name="_Toc506107294"/>
      <w:bookmarkStart w:id="397" w:name="_Toc246996945"/>
      <w:bookmarkStart w:id="398" w:name="_Toc247085716"/>
      <w:bookmarkStart w:id="399" w:name="_Toc324404841"/>
      <w:bookmarkStart w:id="400" w:name="_Toc179632576"/>
      <w:bookmarkStart w:id="401" w:name="_Toc78803347"/>
      <w:bookmarkStart w:id="402" w:name="_Toc19572"/>
      <w:bookmarkStart w:id="403" w:name="_Toc296602446"/>
      <w:r>
        <w:rPr>
          <w:rFonts w:hint="eastAsia" w:ascii="宋体" w:hAnsi="宋体" w:eastAsia="宋体" w:cs="宋体"/>
          <w:color w:val="auto"/>
          <w:highlight w:val="none"/>
        </w:rPr>
        <w:t>4.</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 xml:space="preserve"> 投标文件的修改与撤回</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pPr>
        <w:pageBreakBefore w:val="0"/>
        <w:widowControl w:val="0"/>
        <w:kinsoku/>
        <w:wordWrap/>
        <w:overflowPunct/>
        <w:topLinePunct w:val="0"/>
        <w:autoSpaceDE/>
        <w:autoSpaceDN/>
        <w:bidi w:val="0"/>
        <w:spacing w:line="420" w:lineRule="exact"/>
        <w:ind w:firstLine="422" w:firstLineChars="200"/>
        <w:jc w:val="left"/>
        <w:textAlignment w:val="auto"/>
        <w:rPr>
          <w:rFonts w:ascii="宋体" w:hAnsi="宋体" w:cs="宋体"/>
          <w:color w:val="auto"/>
          <w:szCs w:val="21"/>
          <w:highlight w:val="none"/>
        </w:rPr>
      </w:pPr>
      <w:r>
        <w:rPr>
          <w:rFonts w:hint="eastAsia" w:ascii="宋体" w:hAnsi="宋体" w:cs="宋体"/>
          <w:b/>
          <w:color w:val="auto"/>
          <w:szCs w:val="21"/>
          <w:highlight w:val="none"/>
        </w:rPr>
        <w:t>4.</w:t>
      </w:r>
      <w:r>
        <w:rPr>
          <w:rFonts w:hint="eastAsia" w:ascii="宋体" w:hAnsi="宋体" w:cs="宋体"/>
          <w:b/>
          <w:color w:val="auto"/>
          <w:szCs w:val="21"/>
          <w:highlight w:val="none"/>
          <w:lang w:val="en-US" w:eastAsia="zh-CN"/>
        </w:rPr>
        <w:t>2</w:t>
      </w:r>
      <w:r>
        <w:rPr>
          <w:rFonts w:hint="eastAsia" w:ascii="宋体" w:hAnsi="宋体" w:cs="宋体"/>
          <w:b/>
          <w:color w:val="auto"/>
          <w:szCs w:val="21"/>
          <w:highlight w:val="none"/>
        </w:rPr>
        <w:t>.1 在规定的投标截止时间前，投标人可以自行从</w:t>
      </w:r>
      <w:r>
        <w:rPr>
          <w:rFonts w:hint="eastAsia" w:ascii="宋体" w:hAnsi="宋体" w:cs="宋体"/>
          <w:b/>
          <w:color w:val="auto"/>
          <w:szCs w:val="21"/>
          <w:highlight w:val="none"/>
          <w:lang w:val="en-US" w:eastAsia="zh-CN"/>
        </w:rPr>
        <w:t>邮箱</w:t>
      </w:r>
      <w:r>
        <w:rPr>
          <w:rFonts w:hint="eastAsia" w:ascii="宋体" w:hAnsi="宋体" w:cs="宋体"/>
          <w:b/>
          <w:color w:val="auto"/>
          <w:szCs w:val="21"/>
          <w:highlight w:val="none"/>
        </w:rPr>
        <w:t>撤回已递交的投标文件，并可修改后重新上传，开标时以投标截止时间前投标人最终上传的投标文件为准。</w:t>
      </w:r>
    </w:p>
    <w:p>
      <w:pPr>
        <w:pStyle w:val="7"/>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color w:val="auto"/>
          <w:sz w:val="24"/>
          <w:szCs w:val="24"/>
          <w:highlight w:val="none"/>
        </w:rPr>
      </w:pPr>
      <w:bookmarkStart w:id="404" w:name="_Toc324404842"/>
      <w:bookmarkStart w:id="405" w:name="_Toc152042335"/>
      <w:bookmarkStart w:id="406" w:name="_Toc179632577"/>
      <w:bookmarkStart w:id="407" w:name="_Toc29639"/>
      <w:bookmarkStart w:id="408" w:name="_Toc15058874"/>
      <w:bookmarkStart w:id="409" w:name="_Toc247085717"/>
      <w:bookmarkStart w:id="410" w:name="_Toc35425081"/>
      <w:bookmarkStart w:id="411" w:name="_Toc78803348"/>
      <w:bookmarkStart w:id="412" w:name="_Toc246996203"/>
      <w:bookmarkStart w:id="413" w:name="_Toc144974527"/>
      <w:bookmarkStart w:id="414" w:name="_Toc506107295"/>
      <w:bookmarkStart w:id="415" w:name="_Toc152045559"/>
      <w:bookmarkStart w:id="416" w:name="_Toc246996946"/>
      <w:bookmarkStart w:id="417" w:name="_Toc35424915"/>
      <w:r>
        <w:rPr>
          <w:rFonts w:hint="eastAsia" w:ascii="宋体" w:hAnsi="宋体" w:eastAsia="宋体" w:cs="宋体"/>
          <w:color w:val="auto"/>
          <w:sz w:val="24"/>
          <w:szCs w:val="24"/>
          <w:highlight w:val="none"/>
        </w:rPr>
        <w:t>5. 开标</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418" w:name="_Toc15058875"/>
      <w:bookmarkStart w:id="419" w:name="_Toc246996204"/>
      <w:bookmarkStart w:id="420" w:name="_Toc144974528"/>
      <w:bookmarkStart w:id="421" w:name="_Toc246996947"/>
      <w:bookmarkStart w:id="422" w:name="_Toc179632578"/>
      <w:bookmarkStart w:id="423" w:name="_Toc506107296"/>
      <w:bookmarkStart w:id="424" w:name="_Toc78803349"/>
      <w:bookmarkStart w:id="425" w:name="_Toc247085718"/>
      <w:bookmarkStart w:id="426" w:name="_Toc296602448"/>
      <w:bookmarkStart w:id="427" w:name="_Toc35424916"/>
      <w:bookmarkStart w:id="428" w:name="_Toc152045560"/>
      <w:bookmarkStart w:id="429" w:name="_Toc152042336"/>
      <w:bookmarkStart w:id="430" w:name="_Toc35425082"/>
      <w:bookmarkStart w:id="431" w:name="_Toc324404843"/>
      <w:bookmarkStart w:id="432" w:name="_Toc13691"/>
      <w:r>
        <w:rPr>
          <w:rFonts w:hint="eastAsia" w:ascii="宋体" w:hAnsi="宋体" w:eastAsia="宋体" w:cs="宋体"/>
          <w:color w:val="auto"/>
          <w:highlight w:val="none"/>
        </w:rPr>
        <w:t>5.1 开标时间和地点</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招标人在投标人须知前附表规定的投标截止时间（开标时间）和地点公开开标。</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433" w:name="_Toc152045561"/>
      <w:bookmarkStart w:id="434" w:name="_Toc246996948"/>
      <w:bookmarkStart w:id="435" w:name="_Toc179632579"/>
      <w:bookmarkStart w:id="436" w:name="_Toc246996205"/>
      <w:bookmarkStart w:id="437" w:name="_Toc247085719"/>
      <w:bookmarkStart w:id="438" w:name="_Toc296602449"/>
      <w:bookmarkStart w:id="439" w:name="_Toc324404844"/>
      <w:bookmarkStart w:id="440" w:name="_Toc506107297"/>
      <w:bookmarkStart w:id="441" w:name="_Toc35424917"/>
      <w:bookmarkStart w:id="442" w:name="_Toc144974529"/>
      <w:bookmarkStart w:id="443" w:name="_Toc32451"/>
      <w:bookmarkStart w:id="444" w:name="_Toc15058876"/>
      <w:bookmarkStart w:id="445" w:name="_Toc152042337"/>
      <w:bookmarkStart w:id="446" w:name="_Toc35425083"/>
      <w:bookmarkStart w:id="447" w:name="_Toc78803350"/>
      <w:r>
        <w:rPr>
          <w:rFonts w:hint="eastAsia" w:ascii="宋体" w:hAnsi="宋体" w:eastAsia="宋体" w:cs="宋体"/>
          <w:color w:val="auto"/>
          <w:highlight w:val="none"/>
        </w:rPr>
        <w:t>5.2 开标程序</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主持人按下列程序进行开标：</w:t>
      </w:r>
      <w:bookmarkStart w:id="448" w:name="_Toc296602450"/>
      <w:bookmarkStart w:id="449" w:name="_Toc324404845"/>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bookmarkStart w:id="450" w:name="_Toc15058877"/>
      <w:bookmarkStart w:id="451" w:name="_Toc506107298"/>
      <w:r>
        <w:rPr>
          <w:rFonts w:hint="eastAsia" w:ascii="宋体" w:hAnsi="宋体" w:cs="宋体"/>
          <w:color w:val="auto"/>
          <w:szCs w:val="21"/>
          <w:highlight w:val="none"/>
        </w:rPr>
        <w:t>（1）宣布开标纪律；</w:t>
      </w:r>
      <w:bookmarkEnd w:id="450"/>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bookmarkStart w:id="452" w:name="_Toc15058878"/>
      <w:r>
        <w:rPr>
          <w:rFonts w:hint="eastAsia" w:ascii="宋体" w:hAnsi="宋体" w:cs="宋体"/>
          <w:color w:val="auto"/>
          <w:szCs w:val="21"/>
          <w:highlight w:val="none"/>
        </w:rPr>
        <w:t>（2）宣布招标人、代理机构主持人等有关人员姓名；</w:t>
      </w:r>
      <w:bookmarkEnd w:id="452"/>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bookmarkStart w:id="453" w:name="_Toc15058881"/>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）公布投标人投标报价、质量目标、工期及其他内容，并记录在案；</w:t>
      </w:r>
      <w:bookmarkEnd w:id="453"/>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bookmarkStart w:id="454" w:name="_Toc15058882"/>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）开标结束。</w:t>
      </w:r>
      <w:bookmarkEnd w:id="454"/>
    </w:p>
    <w:bookmarkEnd w:id="448"/>
    <w:bookmarkEnd w:id="449"/>
    <w:bookmarkEnd w:id="451"/>
    <w:p>
      <w:pPr>
        <w:pStyle w:val="7"/>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color w:val="auto"/>
          <w:sz w:val="24"/>
          <w:szCs w:val="24"/>
          <w:highlight w:val="none"/>
        </w:rPr>
      </w:pPr>
      <w:bookmarkStart w:id="455" w:name="_Toc152042338"/>
      <w:bookmarkStart w:id="456" w:name="_Toc152045562"/>
      <w:bookmarkStart w:id="457" w:name="_Toc35425085"/>
      <w:bookmarkStart w:id="458" w:name="_Toc144974530"/>
      <w:bookmarkStart w:id="459" w:name="_Toc15058884"/>
      <w:bookmarkStart w:id="460" w:name="_Toc20689"/>
      <w:bookmarkStart w:id="461" w:name="_Toc35424919"/>
      <w:bookmarkStart w:id="462" w:name="_Toc179632580"/>
      <w:bookmarkStart w:id="463" w:name="_Toc506107299"/>
      <w:bookmarkStart w:id="464" w:name="_Toc78803352"/>
      <w:bookmarkStart w:id="465" w:name="_Toc246996206"/>
      <w:bookmarkStart w:id="466" w:name="_Toc246996949"/>
      <w:bookmarkStart w:id="467" w:name="_Toc247085720"/>
      <w:bookmarkStart w:id="468" w:name="_Toc324404846"/>
      <w:r>
        <w:rPr>
          <w:rFonts w:hint="eastAsia" w:ascii="宋体" w:hAnsi="宋体" w:eastAsia="宋体" w:cs="宋体"/>
          <w:color w:val="auto"/>
          <w:sz w:val="24"/>
          <w:szCs w:val="24"/>
          <w:highlight w:val="none"/>
        </w:rPr>
        <w:t>6. 评标</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469" w:name="_Toc324404847"/>
      <w:bookmarkStart w:id="470" w:name="_Toc35425086"/>
      <w:bookmarkStart w:id="471" w:name="_Toc35424920"/>
      <w:bookmarkStart w:id="472" w:name="_Toc144974531"/>
      <w:bookmarkStart w:id="473" w:name="_Toc152045563"/>
      <w:bookmarkStart w:id="474" w:name="_Toc78803353"/>
      <w:bookmarkStart w:id="475" w:name="_Toc246996950"/>
      <w:bookmarkStart w:id="476" w:name="_Toc246996207"/>
      <w:bookmarkStart w:id="477" w:name="_Toc14249"/>
      <w:bookmarkStart w:id="478" w:name="_Toc296602452"/>
      <w:bookmarkStart w:id="479" w:name="_Toc247085721"/>
      <w:bookmarkStart w:id="480" w:name="_Toc179632581"/>
      <w:bookmarkStart w:id="481" w:name="_Toc506107300"/>
      <w:bookmarkStart w:id="482" w:name="_Toc152042339"/>
      <w:bookmarkStart w:id="483" w:name="_Toc15058885"/>
      <w:r>
        <w:rPr>
          <w:rFonts w:hint="eastAsia" w:ascii="宋体" w:hAnsi="宋体" w:eastAsia="宋体" w:cs="宋体"/>
          <w:color w:val="auto"/>
          <w:highlight w:val="none"/>
        </w:rPr>
        <w:t>6.1 评标委员会</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6.1.1 评标由招标人依法组建的评标委员会负责。评标委员会由招标人或其委托的招标代理机构熟悉相关业务的代表，以及有关技术、经济等方面的专家组成。</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6.1.2 评标委员会成员有下列情形之一的，应当回避：</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（1）投标人或投标人主要负责人的近亲属；</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（2）项目主管部门或者行政监督部门的人员；</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（3）与投标人有经济利益关系；</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（4）曾因在招标、评标以及其他与招标投标有关活动中从事违法行为而受过行政处罚或刑事处罚的；</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（5）与投标人有其他利害关系。</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6.1.3评标过程中，评标委员会成员有回避事由、擅离职守或因健康等原因不能继续评标的， 招标人有权更换。被更换的评标委员会成员作出的评审结论无效，由更换后的评标委员会成员重新进行评审。</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484" w:name="_Toc35424921"/>
      <w:bookmarkStart w:id="485" w:name="_Toc78803354"/>
      <w:bookmarkStart w:id="486" w:name="_Toc247085722"/>
      <w:bookmarkStart w:id="487" w:name="_Toc15058886"/>
      <w:bookmarkStart w:id="488" w:name="_Toc35425087"/>
      <w:bookmarkStart w:id="489" w:name="_Toc179632582"/>
      <w:bookmarkStart w:id="490" w:name="_Toc144974532"/>
      <w:bookmarkStart w:id="491" w:name="_Toc506107301"/>
      <w:bookmarkStart w:id="492" w:name="_Toc152045564"/>
      <w:bookmarkStart w:id="493" w:name="_Toc324404848"/>
      <w:bookmarkStart w:id="494" w:name="_Toc246996951"/>
      <w:bookmarkStart w:id="495" w:name="_Toc246996208"/>
      <w:bookmarkStart w:id="496" w:name="_Toc12948"/>
      <w:bookmarkStart w:id="497" w:name="_Toc152042340"/>
      <w:bookmarkStart w:id="498" w:name="_Toc296602453"/>
      <w:r>
        <w:rPr>
          <w:rFonts w:hint="eastAsia" w:ascii="宋体" w:hAnsi="宋体" w:eastAsia="宋体" w:cs="宋体"/>
          <w:color w:val="auto"/>
          <w:highlight w:val="none"/>
        </w:rPr>
        <w:t>6.2 评标原则</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评标活动遵循公平、公正、科学和择优的原则。</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499" w:name="_Toc247085723"/>
      <w:bookmarkStart w:id="500" w:name="_Toc144974533"/>
      <w:bookmarkStart w:id="501" w:name="_Toc35424922"/>
      <w:bookmarkStart w:id="502" w:name="_Toc78803355"/>
      <w:bookmarkStart w:id="503" w:name="_Toc152042341"/>
      <w:bookmarkStart w:id="504" w:name="_Toc14892"/>
      <w:bookmarkStart w:id="505" w:name="_Toc506107302"/>
      <w:bookmarkStart w:id="506" w:name="_Toc179632583"/>
      <w:bookmarkStart w:id="507" w:name="_Toc15058887"/>
      <w:bookmarkStart w:id="508" w:name="_Toc152045565"/>
      <w:bookmarkStart w:id="509" w:name="_Toc246996209"/>
      <w:bookmarkStart w:id="510" w:name="_Toc296602454"/>
      <w:bookmarkStart w:id="511" w:name="_Toc324404849"/>
      <w:bookmarkStart w:id="512" w:name="_Toc35425088"/>
      <w:bookmarkStart w:id="513" w:name="_Toc246996952"/>
      <w:r>
        <w:rPr>
          <w:rFonts w:hint="eastAsia" w:ascii="宋体" w:hAnsi="宋体" w:eastAsia="宋体" w:cs="宋体"/>
          <w:color w:val="auto"/>
          <w:highlight w:val="none"/>
        </w:rPr>
        <w:t>6.3 评标</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bookmarkStart w:id="514" w:name="_Toc246996210"/>
      <w:bookmarkStart w:id="515" w:name="_Toc144974534"/>
      <w:bookmarkStart w:id="516" w:name="_Toc246996953"/>
      <w:bookmarkStart w:id="517" w:name="_Toc324404850"/>
      <w:bookmarkStart w:id="518" w:name="_Toc152045566"/>
      <w:bookmarkStart w:id="519" w:name="_Toc179632584"/>
      <w:bookmarkStart w:id="520" w:name="_Toc247085724"/>
      <w:bookmarkStart w:id="521" w:name="_Toc152042342"/>
      <w:r>
        <w:rPr>
          <w:rFonts w:hint="eastAsia" w:ascii="宋体" w:hAnsi="宋体" w:cs="宋体"/>
          <w:color w:val="auto"/>
          <w:szCs w:val="21"/>
          <w:highlight w:val="none"/>
        </w:rPr>
        <w:t>6.3.1评标委员会按照第三章“评标办法”规定的方法、评审因素、标准和程序对投标文件进行评审。第三章“评标办法”没有规定的方法、评审因素和标准，不作为评标依据。</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6.3.2评标完成后，评标委员会应向招标人提交书面评标报告和中标候选人名单。评标委员会推荐中标候选人的人数见投标人须知前附表。</w:t>
      </w:r>
    </w:p>
    <w:p>
      <w:pPr>
        <w:pStyle w:val="7"/>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color w:val="auto"/>
          <w:sz w:val="24"/>
          <w:szCs w:val="24"/>
          <w:highlight w:val="none"/>
        </w:rPr>
      </w:pPr>
      <w:bookmarkStart w:id="522" w:name="_Toc35424923"/>
      <w:bookmarkStart w:id="523" w:name="_Toc506107303"/>
      <w:bookmarkStart w:id="524" w:name="_Toc15058888"/>
      <w:bookmarkStart w:id="525" w:name="_Toc26182"/>
      <w:bookmarkStart w:id="526" w:name="_Toc78803356"/>
      <w:bookmarkStart w:id="527" w:name="_Toc35425089"/>
      <w:r>
        <w:rPr>
          <w:rFonts w:hint="eastAsia" w:ascii="宋体" w:hAnsi="宋体" w:eastAsia="宋体" w:cs="宋体"/>
          <w:color w:val="auto"/>
          <w:sz w:val="24"/>
          <w:szCs w:val="24"/>
          <w:highlight w:val="none"/>
        </w:rPr>
        <w:t>7. 合同授予</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bookmarkStart w:id="528" w:name="_Toc296602457"/>
      <w:bookmarkStart w:id="529" w:name="_Toc324404852"/>
      <w:bookmarkStart w:id="530" w:name="_Toc15058890"/>
      <w:bookmarkStart w:id="531" w:name="_Toc83301726"/>
      <w:bookmarkStart w:id="532" w:name="_Toc60061472"/>
      <w:bookmarkStart w:id="533" w:name="_Toc95223374"/>
      <w:bookmarkStart w:id="534" w:name="_Toc506107305"/>
      <w:bookmarkStart w:id="535" w:name="_Toc4204"/>
      <w:bookmarkStart w:id="536" w:name="_Toc246996212"/>
      <w:bookmarkStart w:id="537" w:name="_Toc246996955"/>
      <w:bookmarkStart w:id="538" w:name="_Toc144974536"/>
      <w:bookmarkStart w:id="539" w:name="_Toc78803360"/>
      <w:bookmarkStart w:id="540" w:name="_Toc14692"/>
      <w:bookmarkStart w:id="541" w:name="_Toc506107306"/>
      <w:bookmarkStart w:id="542" w:name="_Toc152042344"/>
      <w:bookmarkStart w:id="543" w:name="_Toc15058891"/>
      <w:bookmarkStart w:id="544" w:name="_Toc35424927"/>
      <w:bookmarkStart w:id="545" w:name="_Toc247085726"/>
      <w:bookmarkStart w:id="546" w:name="_Toc296602458"/>
      <w:bookmarkStart w:id="547" w:name="_Toc324404853"/>
      <w:bookmarkStart w:id="548" w:name="_Toc35425093"/>
      <w:bookmarkStart w:id="549" w:name="_Toc179632586"/>
      <w:bookmarkStart w:id="550" w:name="_Toc152045568"/>
      <w:r>
        <w:rPr>
          <w:rFonts w:hint="eastAsia" w:ascii="宋体" w:hAnsi="宋体" w:eastAsia="宋体" w:cs="宋体"/>
          <w:color w:val="auto"/>
          <w:highlight w:val="none"/>
        </w:rPr>
        <w:t>7.1 中标候选人公示</w:t>
      </w:r>
      <w:bookmarkEnd w:id="528"/>
      <w:bookmarkEnd w:id="529"/>
      <w:bookmarkEnd w:id="530"/>
      <w:bookmarkEnd w:id="531"/>
      <w:bookmarkEnd w:id="532"/>
      <w:bookmarkEnd w:id="533"/>
      <w:bookmarkEnd w:id="534"/>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招标人在收到评标报告之日起3日内，按照投标人须知前附表规定的公示媒介和期限依法公示。中标候选人公示期不得少于3日。</w:t>
      </w:r>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7.2 评标结果异议</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投标人或其他利害关系人对评标结果有异议的，应在中标候选人公示期内提出。招标人将在收到异议之日起3日内作出答复；作出答复前，将暂停招标投标活动。</w:t>
      </w:r>
    </w:p>
    <w:bookmarkEnd w:id="535"/>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7.3 中标候选人履约能力审查</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中标候选人的经营、财务状况发生较大变化或者存在违法行为，招标人认为可能影响其履约能力的，应当在发出中标通知书前由原评标委员会按照招标文件规定的标准和方法审查确认。</w:t>
      </w:r>
    </w:p>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bookmarkStart w:id="551" w:name="_Toc83301727"/>
      <w:bookmarkStart w:id="552" w:name="_Toc95223375"/>
      <w:bookmarkStart w:id="553" w:name="_Toc60061474"/>
      <w:bookmarkStart w:id="554" w:name="_Toc11010"/>
      <w:bookmarkStart w:id="555" w:name="_Toc506107308"/>
      <w:bookmarkStart w:id="556" w:name="_Toc152042346"/>
      <w:bookmarkStart w:id="557" w:name="_Toc296602460"/>
      <w:bookmarkStart w:id="558" w:name="_Toc179632588"/>
      <w:bookmarkStart w:id="559" w:name="_Toc15058893"/>
      <w:bookmarkStart w:id="560" w:name="_Toc247085728"/>
      <w:bookmarkStart w:id="561" w:name="_Toc78803363"/>
      <w:bookmarkStart w:id="562" w:name="_Toc246996214"/>
      <w:bookmarkStart w:id="563" w:name="_Toc152045570"/>
      <w:bookmarkStart w:id="564" w:name="_Toc324404855"/>
      <w:bookmarkStart w:id="565" w:name="_Toc35424930"/>
      <w:bookmarkStart w:id="566" w:name="_Toc35425096"/>
      <w:bookmarkStart w:id="567" w:name="_Toc144974538"/>
      <w:bookmarkStart w:id="568" w:name="_Toc246996957"/>
      <w:r>
        <w:rPr>
          <w:rFonts w:hint="eastAsia" w:ascii="宋体" w:hAnsi="宋体" w:eastAsia="宋体" w:cs="宋体"/>
          <w:color w:val="auto"/>
          <w:highlight w:val="none"/>
        </w:rPr>
        <w:t>7.</w:t>
      </w:r>
      <w:r>
        <w:rPr>
          <w:rFonts w:hint="eastAsia" w:ascii="宋体" w:hAnsi="宋体" w:eastAsia="宋体" w:cs="宋体"/>
          <w:color w:val="auto"/>
          <w:highlight w:val="none"/>
          <w:lang w:val="en-US" w:eastAsia="zh-CN"/>
        </w:rPr>
        <w:t xml:space="preserve">4 </w:t>
      </w:r>
      <w:r>
        <w:rPr>
          <w:rFonts w:hint="eastAsia" w:ascii="宋体" w:hAnsi="宋体" w:eastAsia="宋体" w:cs="宋体"/>
          <w:color w:val="auto"/>
          <w:highlight w:val="none"/>
        </w:rPr>
        <w:t>定标</w:t>
      </w:r>
      <w:bookmarkEnd w:id="551"/>
      <w:bookmarkEnd w:id="552"/>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照投标人须知前附表的规定，招标人或招标人授权的评标委员会依法确定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bookmarkStart w:id="569" w:name="_Toc95223376"/>
      <w:bookmarkStart w:id="570" w:name="_Toc83301728"/>
      <w:r>
        <w:rPr>
          <w:rFonts w:hint="eastAsia" w:ascii="宋体" w:hAnsi="宋体" w:eastAsia="宋体" w:cs="宋体"/>
          <w:color w:val="auto"/>
          <w:highlight w:val="none"/>
        </w:rPr>
        <w:t>7.</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 xml:space="preserve"> 中标通知</w:t>
      </w:r>
      <w:bookmarkEnd w:id="553"/>
      <w:bookmarkEnd w:id="569"/>
      <w:bookmarkEnd w:id="570"/>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在本招标文件规定的投标有效期内，招标人向中标人发出中标通知书，同时将中标结果通知未中标的投标人。</w:t>
      </w:r>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bookmarkStart w:id="571" w:name="_Toc83301730"/>
      <w:bookmarkStart w:id="572" w:name="_Toc95223378"/>
      <w:bookmarkStart w:id="573" w:name="_Toc15058892"/>
      <w:bookmarkStart w:id="574" w:name="_Toc179632587"/>
      <w:bookmarkStart w:id="575" w:name="_Toc152042345"/>
      <w:bookmarkStart w:id="576" w:name="_Toc152045569"/>
      <w:bookmarkStart w:id="577" w:name="_Toc246996956"/>
      <w:bookmarkStart w:id="578" w:name="_Toc247085727"/>
      <w:bookmarkStart w:id="579" w:name="_Toc60061476"/>
      <w:bookmarkStart w:id="580" w:name="_Toc296602459"/>
      <w:bookmarkStart w:id="581" w:name="_Toc506107307"/>
      <w:bookmarkStart w:id="582" w:name="_Toc246996213"/>
      <w:bookmarkStart w:id="583" w:name="_Toc324404854"/>
      <w:bookmarkStart w:id="584" w:name="_Toc144974537"/>
      <w:r>
        <w:rPr>
          <w:rFonts w:hint="eastAsia" w:ascii="宋体" w:hAnsi="宋体" w:eastAsia="宋体" w:cs="宋体"/>
          <w:color w:val="auto"/>
          <w:highlight w:val="none"/>
        </w:rPr>
        <w:t>7.</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xml:space="preserve"> 履约担保</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.1在签订合同前，中标人应按投标人须知前附表规定的担保形式和招标文件第</w:t>
      </w:r>
      <w:r>
        <w:rPr>
          <w:rFonts w:hint="eastAsia" w:ascii="宋体" w:hAnsi="宋体" w:eastAsia="宋体" w:cs="宋体"/>
          <w:color w:val="auto"/>
          <w:szCs w:val="21"/>
          <w:highlight w:val="none"/>
          <w:lang w:val="en-US" w:eastAsia="zh-CN"/>
        </w:rPr>
        <w:t>四</w:t>
      </w:r>
      <w:r>
        <w:rPr>
          <w:rFonts w:hint="eastAsia" w:ascii="宋体" w:hAnsi="宋体" w:eastAsia="宋体" w:cs="宋体"/>
          <w:color w:val="auto"/>
          <w:szCs w:val="21"/>
          <w:highlight w:val="none"/>
        </w:rPr>
        <w:t>章“合同条款及格式”规定的或者事先经过招标人书面认可的履约担保格式向招标人提交履约担保。联合体中标的，其履约担保应符合投标人须知前附表规定的金额、担保形式和招标文件第</w:t>
      </w:r>
      <w:r>
        <w:rPr>
          <w:rFonts w:hint="eastAsia" w:ascii="宋体" w:hAnsi="宋体" w:eastAsia="宋体" w:cs="宋体"/>
          <w:color w:val="auto"/>
          <w:szCs w:val="21"/>
          <w:highlight w:val="none"/>
          <w:lang w:val="en-US" w:eastAsia="zh-CN"/>
        </w:rPr>
        <w:t>四</w:t>
      </w:r>
      <w:r>
        <w:rPr>
          <w:rFonts w:hint="eastAsia" w:ascii="宋体" w:hAnsi="宋体" w:eastAsia="宋体" w:cs="宋体"/>
          <w:color w:val="auto"/>
          <w:szCs w:val="21"/>
          <w:highlight w:val="none"/>
        </w:rPr>
        <w:t>章“合同条款及格式”规定的履约担保格式要求。</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.2 中标人不能按本章第7.</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.1项要求提交履约担保的，视为放弃中标，其投标保证金不予退还，给招标人造成的损失超过投标保证金数额的，中标人还应当对超过部分予以赔偿。</w:t>
      </w:r>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bookmarkStart w:id="585" w:name="_Toc83301731"/>
      <w:bookmarkStart w:id="586" w:name="_Toc60061477"/>
      <w:bookmarkStart w:id="587" w:name="_Toc95223379"/>
      <w:r>
        <w:rPr>
          <w:rFonts w:hint="eastAsia" w:ascii="宋体" w:hAnsi="宋体" w:eastAsia="宋体" w:cs="宋体"/>
          <w:color w:val="auto"/>
          <w:highlight w:val="none"/>
        </w:rPr>
        <w:t>7.</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xml:space="preserve"> 签订合同</w:t>
      </w:r>
      <w:bookmarkEnd w:id="585"/>
      <w:bookmarkEnd w:id="586"/>
      <w:bookmarkEnd w:id="587"/>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.1本招标工程的施工合同将授予按本须知第7.</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款规定所确定的中标人。</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.2招标人和中标人应当自中标通知书发出之日起</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天内，根据招标文件和中标人的投标文件订立书面合同</w:t>
      </w:r>
      <w:r>
        <w:rPr>
          <w:rFonts w:hint="eastAsia" w:ascii="宋体" w:hAnsi="宋体" w:eastAsia="宋体" w:cs="宋体"/>
          <w:color w:val="auto"/>
          <w:szCs w:val="21"/>
          <w:highlight w:val="none"/>
        </w:rPr>
        <w:t>。中标人无正当理由拒签合同的，在签订合同时向招标人提出附加条件，或不按照招标文件要求提交履约保证金的，招标人取消其中标资格，其投标保证金不予退还；给招标人造成的损失超过投标保证金数额的，中标人还应当对超过部分予以赔偿。</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.3 发出中标通知书后，招标人无正当理由拒签合同的，招标人向中标人退还投标保证金；给中标人造成损失的，还应当赔偿损失。</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.4 除法定情形外，建设工程合同履行期间项目经理（建造师）不得更换。项目经理（建造师）确需变更的，应根据招标文件要求，变更后的项目经理（建造师）不低于投标文件中拟派项目经理（建造师）的资格条件。</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.5 联合体中标的，联合体各方应当共同与招标人签订合同，就中标项目向招标人承担连带责任。</w:t>
      </w:r>
    </w:p>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Pr>
        <w:pStyle w:val="7"/>
        <w:pageBreakBefore w:val="0"/>
        <w:widowControl w:val="0"/>
        <w:kinsoku/>
        <w:wordWrap/>
        <w:overflowPunct/>
        <w:topLinePunct w:val="0"/>
        <w:autoSpaceDE/>
        <w:autoSpaceDN/>
        <w:bidi w:val="0"/>
        <w:spacing w:beforeLines="50" w:afterLines="50" w:line="420" w:lineRule="exact"/>
        <w:ind w:firstLine="422" w:firstLineChars="200"/>
        <w:textAlignment w:val="auto"/>
        <w:rPr>
          <w:rFonts w:hint="eastAsia" w:ascii="宋体" w:hAnsi="宋体" w:eastAsia="宋体" w:cs="宋体"/>
          <w:color w:val="auto"/>
          <w:highlight w:val="none"/>
        </w:rPr>
      </w:pPr>
      <w:bookmarkStart w:id="588" w:name="_Toc144974539"/>
      <w:bookmarkStart w:id="589" w:name="_Toc179632589"/>
      <w:bookmarkStart w:id="590" w:name="_Toc152042347"/>
      <w:bookmarkStart w:id="591" w:name="_Toc83301732"/>
      <w:bookmarkStart w:id="592" w:name="_Toc152045571"/>
      <w:bookmarkStart w:id="593" w:name="_Toc95223381"/>
      <w:bookmarkStart w:id="594" w:name="_Toc60061478"/>
      <w:bookmarkStart w:id="595" w:name="_Toc35425097"/>
      <w:bookmarkStart w:id="596" w:name="_Toc26974"/>
      <w:bookmarkStart w:id="597" w:name="_Toc35424931"/>
      <w:bookmarkStart w:id="598" w:name="_Toc25375"/>
      <w:bookmarkStart w:id="599" w:name="_Toc78803367"/>
      <w:bookmarkStart w:id="600" w:name="_Toc31686"/>
      <w:bookmarkStart w:id="601" w:name="_Toc324404864"/>
      <w:bookmarkStart w:id="602" w:name="_Toc506107317"/>
      <w:bookmarkStart w:id="603" w:name="_Toc15058902"/>
      <w:bookmarkStart w:id="604" w:name="_Toc35425105"/>
      <w:bookmarkStart w:id="605" w:name="_Toc35424939"/>
      <w:bookmarkStart w:id="606" w:name="_Toc296602475"/>
      <w:r>
        <w:rPr>
          <w:rFonts w:hint="eastAsia" w:ascii="宋体" w:hAnsi="宋体" w:eastAsia="宋体" w:cs="宋体"/>
          <w:color w:val="auto"/>
          <w:highlight w:val="none"/>
        </w:rPr>
        <w:t>8. 重新招标和不再招标</w:t>
      </w:r>
      <w:bookmarkEnd w:id="588"/>
      <w:bookmarkEnd w:id="589"/>
      <w:bookmarkEnd w:id="590"/>
      <w:bookmarkEnd w:id="591"/>
      <w:bookmarkEnd w:id="592"/>
      <w:bookmarkEnd w:id="593"/>
      <w:bookmarkEnd w:id="594"/>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bookmarkStart w:id="607" w:name="_Toc60061479"/>
      <w:bookmarkStart w:id="608" w:name="_Toc83301733"/>
      <w:bookmarkStart w:id="609" w:name="_Toc95223382"/>
      <w:bookmarkStart w:id="610" w:name="_Toc152042348"/>
      <w:bookmarkStart w:id="611" w:name="_Toc179632590"/>
      <w:bookmarkStart w:id="612" w:name="_Toc152045572"/>
      <w:bookmarkStart w:id="613" w:name="_Toc144974540"/>
      <w:r>
        <w:rPr>
          <w:rFonts w:hint="eastAsia" w:ascii="宋体" w:hAnsi="宋体" w:eastAsia="宋体" w:cs="宋体"/>
          <w:color w:val="auto"/>
          <w:highlight w:val="none"/>
        </w:rPr>
        <w:t>8.1 重新招标</w:t>
      </w:r>
      <w:bookmarkEnd w:id="607"/>
      <w:bookmarkEnd w:id="608"/>
      <w:bookmarkEnd w:id="609"/>
      <w:bookmarkEnd w:id="610"/>
      <w:bookmarkEnd w:id="611"/>
      <w:bookmarkEnd w:id="612"/>
      <w:bookmarkEnd w:id="613"/>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依法必须招标的项目有下列情形之一的，招标人将重新招标：</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（1）投标截止时间止，投标人少于3个的；</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（2）经评标委员会评审后否决所有投标的；</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（3）中标候选人均未与招标人签订合同的；</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（4）法律、法规规定的其他情形。</w:t>
      </w:r>
    </w:p>
    <w:p>
      <w:pPr>
        <w:pStyle w:val="7"/>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bookmarkStart w:id="614" w:name="_Toc152042349"/>
      <w:bookmarkStart w:id="615" w:name="_Toc179632591"/>
      <w:bookmarkStart w:id="616" w:name="_Toc144974541"/>
      <w:bookmarkStart w:id="617" w:name="_Toc60061480"/>
      <w:bookmarkStart w:id="618" w:name="_Toc83301734"/>
      <w:bookmarkStart w:id="619" w:name="_Toc95223383"/>
      <w:bookmarkStart w:id="620" w:name="_Toc152045573"/>
      <w:r>
        <w:rPr>
          <w:rFonts w:hint="eastAsia" w:ascii="宋体" w:hAnsi="宋体" w:eastAsia="宋体" w:cs="宋体"/>
          <w:color w:val="auto"/>
          <w:highlight w:val="none"/>
        </w:rPr>
        <w:t>8.2 不再招标</w:t>
      </w:r>
      <w:bookmarkEnd w:id="614"/>
      <w:bookmarkEnd w:id="615"/>
      <w:bookmarkEnd w:id="616"/>
      <w:bookmarkEnd w:id="617"/>
      <w:bookmarkEnd w:id="618"/>
      <w:bookmarkEnd w:id="619"/>
      <w:bookmarkEnd w:id="620"/>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重新招标后投标人仍少于3个或者所有投标被否决的，属于必须审批或核准的工程建设项目，经原审批或核准部门批准后不再进行招标。</w:t>
      </w:r>
    </w:p>
    <w:p>
      <w:pPr>
        <w:pStyle w:val="7"/>
        <w:pageBreakBefore w:val="0"/>
        <w:widowControl w:val="0"/>
        <w:kinsoku/>
        <w:wordWrap/>
        <w:overflowPunct/>
        <w:topLinePunct w:val="0"/>
        <w:autoSpaceDE/>
        <w:autoSpaceDN/>
        <w:bidi w:val="0"/>
        <w:spacing w:beforeLines="50" w:afterLines="50" w:line="420" w:lineRule="exact"/>
        <w:ind w:firstLine="422" w:firstLineChars="200"/>
        <w:textAlignment w:val="auto"/>
        <w:rPr>
          <w:rFonts w:ascii="宋体" w:hAnsi="宋体" w:eastAsia="宋体" w:cs="宋体"/>
          <w:color w:val="auto"/>
          <w:highlight w:val="none"/>
        </w:rPr>
      </w:pPr>
      <w:r>
        <w:rPr>
          <w:rFonts w:hint="eastAsia" w:ascii="宋体" w:hAnsi="宋体" w:eastAsia="宋体" w:cs="宋体"/>
          <w:color w:val="auto"/>
          <w:highlight w:val="none"/>
        </w:rPr>
        <w:t>9. 纪律和监督</w:t>
      </w:r>
      <w:bookmarkEnd w:id="595"/>
      <w:bookmarkEnd w:id="596"/>
      <w:bookmarkEnd w:id="597"/>
      <w:bookmarkEnd w:id="598"/>
      <w:bookmarkEnd w:id="599"/>
      <w:bookmarkEnd w:id="600"/>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621" w:name="_Toc246996962"/>
      <w:bookmarkStart w:id="622" w:name="_Toc296590983"/>
      <w:bookmarkStart w:id="623" w:name="_Toc144974543"/>
      <w:bookmarkStart w:id="624" w:name="_Toc179632593"/>
      <w:bookmarkStart w:id="625" w:name="_Toc2855"/>
      <w:bookmarkStart w:id="626" w:name="_Toc15058895"/>
      <w:bookmarkStart w:id="627" w:name="_Toc247085733"/>
      <w:bookmarkStart w:id="628" w:name="_Toc35424932"/>
      <w:bookmarkStart w:id="629" w:name="_Toc296602462"/>
      <w:bookmarkStart w:id="630" w:name="_Toc324404857"/>
      <w:bookmarkStart w:id="631" w:name="_Toc35425098"/>
      <w:bookmarkStart w:id="632" w:name="_Toc15607"/>
      <w:bookmarkStart w:id="633" w:name="_Toc152045575"/>
      <w:bookmarkStart w:id="634" w:name="_Toc246996219"/>
      <w:bookmarkStart w:id="635" w:name="_Toc506107310"/>
      <w:bookmarkStart w:id="636" w:name="_Toc152042351"/>
      <w:bookmarkStart w:id="637" w:name="_Toc78803368"/>
      <w:r>
        <w:rPr>
          <w:rFonts w:hint="eastAsia" w:ascii="宋体" w:hAnsi="宋体" w:eastAsia="宋体" w:cs="宋体"/>
          <w:color w:val="auto"/>
          <w:highlight w:val="none"/>
        </w:rPr>
        <w:t>9.1 对招标人的纪律要求</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招标人不得泄漏招标投标活动中应当保密的情况和资料，不得与投标人串通损害国家利益、社会公共利益或者他人合法权益。</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638" w:name="_Toc35424933"/>
      <w:bookmarkStart w:id="639" w:name="_Toc78803369"/>
      <w:bookmarkStart w:id="640" w:name="_Toc506107311"/>
      <w:bookmarkStart w:id="641" w:name="_Toc32177"/>
      <w:bookmarkStart w:id="642" w:name="_Toc35425099"/>
      <w:bookmarkStart w:id="643" w:name="_Toc246996963"/>
      <w:bookmarkStart w:id="644" w:name="_Toc246996220"/>
      <w:bookmarkStart w:id="645" w:name="_Toc324404858"/>
      <w:bookmarkStart w:id="646" w:name="_Toc152045576"/>
      <w:bookmarkStart w:id="647" w:name="_Toc19779"/>
      <w:bookmarkStart w:id="648" w:name="_Toc144974544"/>
      <w:bookmarkStart w:id="649" w:name="_Toc247085734"/>
      <w:bookmarkStart w:id="650" w:name="_Toc179632594"/>
      <w:bookmarkStart w:id="651" w:name="_Toc152042352"/>
      <w:bookmarkStart w:id="652" w:name="_Toc15058896"/>
      <w:bookmarkStart w:id="653" w:name="_Toc296602463"/>
      <w:r>
        <w:rPr>
          <w:rFonts w:hint="eastAsia" w:ascii="宋体" w:hAnsi="宋体" w:eastAsia="宋体" w:cs="宋体"/>
          <w:color w:val="auto"/>
          <w:highlight w:val="none"/>
        </w:rPr>
        <w:t>9.2 对投标人的纪律要求</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654" w:name="_Toc13043"/>
      <w:bookmarkStart w:id="655" w:name="_Toc144974545"/>
      <w:bookmarkStart w:id="656" w:name="_Toc35425100"/>
      <w:bookmarkStart w:id="657" w:name="_Toc152045577"/>
      <w:bookmarkStart w:id="658" w:name="_Toc296602464"/>
      <w:bookmarkStart w:id="659" w:name="_Toc15058897"/>
      <w:bookmarkStart w:id="660" w:name="_Toc247085735"/>
      <w:bookmarkStart w:id="661" w:name="_Toc78803370"/>
      <w:bookmarkStart w:id="662" w:name="_Toc12564"/>
      <w:bookmarkStart w:id="663" w:name="_Toc152042353"/>
      <w:bookmarkStart w:id="664" w:name="_Toc246996964"/>
      <w:bookmarkStart w:id="665" w:name="_Toc246996221"/>
      <w:bookmarkStart w:id="666" w:name="_Toc179632595"/>
      <w:bookmarkStart w:id="667" w:name="_Toc35424934"/>
      <w:bookmarkStart w:id="668" w:name="_Toc506107312"/>
      <w:bookmarkStart w:id="669" w:name="_Toc324404859"/>
      <w:r>
        <w:rPr>
          <w:rFonts w:hint="eastAsia" w:ascii="宋体" w:hAnsi="宋体" w:eastAsia="宋体" w:cs="宋体"/>
          <w:color w:val="auto"/>
          <w:highlight w:val="none"/>
        </w:rPr>
        <w:t>9.3 对评标委员会成员的纪律要求</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670" w:name="_Toc78803371"/>
      <w:bookmarkStart w:id="671" w:name="_Toc35424935"/>
      <w:bookmarkStart w:id="672" w:name="_Toc15058898"/>
      <w:bookmarkStart w:id="673" w:name="_Toc246996222"/>
      <w:bookmarkStart w:id="674" w:name="_Toc296602465"/>
      <w:bookmarkStart w:id="675" w:name="_Toc506107313"/>
      <w:bookmarkStart w:id="676" w:name="_Toc247085736"/>
      <w:bookmarkStart w:id="677" w:name="_Toc179632596"/>
      <w:bookmarkStart w:id="678" w:name="_Toc18329"/>
      <w:bookmarkStart w:id="679" w:name="_Toc35425101"/>
      <w:bookmarkStart w:id="680" w:name="_Toc246996965"/>
      <w:bookmarkStart w:id="681" w:name="_Toc152042354"/>
      <w:bookmarkStart w:id="682" w:name="_Toc32214"/>
      <w:bookmarkStart w:id="683" w:name="_Toc152045578"/>
      <w:bookmarkStart w:id="684" w:name="_Toc324404860"/>
      <w:bookmarkStart w:id="685" w:name="_Toc144974546"/>
      <w:r>
        <w:rPr>
          <w:rFonts w:hint="eastAsia" w:ascii="宋体" w:hAnsi="宋体" w:eastAsia="宋体" w:cs="宋体"/>
          <w:color w:val="auto"/>
          <w:highlight w:val="none"/>
        </w:rPr>
        <w:t>9.4 对与评标活动有关的工作人员的纪律要求</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bookmarkStart w:id="686" w:name="_Toc152042355"/>
      <w:r>
        <w:rPr>
          <w:rFonts w:hint="eastAsia" w:ascii="宋体" w:hAnsi="宋体" w:cs="宋体"/>
          <w:color w:val="auto"/>
          <w:szCs w:val="21"/>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686"/>
    </w:p>
    <w:p>
      <w:pPr>
        <w:pStyle w:val="7"/>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color w:val="auto"/>
          <w:highlight w:val="none"/>
        </w:rPr>
      </w:pPr>
      <w:bookmarkStart w:id="687" w:name="_Toc15058899"/>
      <w:bookmarkStart w:id="688" w:name="_Toc2811"/>
      <w:bookmarkStart w:id="689" w:name="_Toc179632597"/>
      <w:bookmarkStart w:id="690" w:name="_Toc247085737"/>
      <w:bookmarkStart w:id="691" w:name="_Toc23607"/>
      <w:bookmarkStart w:id="692" w:name="_Toc152042356"/>
      <w:bookmarkStart w:id="693" w:name="_Toc152045579"/>
      <w:bookmarkStart w:id="694" w:name="_Toc246996966"/>
      <w:bookmarkStart w:id="695" w:name="_Toc35424936"/>
      <w:bookmarkStart w:id="696" w:name="_Toc296602466"/>
      <w:bookmarkStart w:id="697" w:name="_Toc246996223"/>
      <w:bookmarkStart w:id="698" w:name="_Toc78803372"/>
      <w:bookmarkStart w:id="699" w:name="_Toc35425102"/>
      <w:bookmarkStart w:id="700" w:name="_Toc506107314"/>
      <w:bookmarkStart w:id="701" w:name="_Toc324404861"/>
      <w:r>
        <w:rPr>
          <w:rFonts w:hint="eastAsia" w:ascii="宋体" w:hAnsi="宋体" w:eastAsia="宋体" w:cs="宋体"/>
          <w:color w:val="auto"/>
          <w:highlight w:val="none"/>
        </w:rPr>
        <w:t>9.5 投诉</w:t>
      </w:r>
      <w:bookmarkEnd w:id="685"/>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bookmarkStart w:id="702" w:name="_Toc144974547"/>
      <w:bookmarkStart w:id="703" w:name="_Toc247085738"/>
      <w:bookmarkStart w:id="704" w:name="_Toc179632598"/>
      <w:bookmarkStart w:id="705" w:name="_Toc152042357"/>
      <w:bookmarkStart w:id="706" w:name="_Toc31643"/>
      <w:bookmarkStart w:id="707" w:name="_Toc16463"/>
      <w:bookmarkStart w:id="708" w:name="_Toc35424937"/>
      <w:bookmarkStart w:id="709" w:name="_Toc35425103"/>
      <w:bookmarkStart w:id="710" w:name="_Toc152045580"/>
      <w:bookmarkStart w:id="711" w:name="_Toc324404862"/>
      <w:bookmarkStart w:id="712" w:name="_Toc78803373"/>
      <w:bookmarkStart w:id="713" w:name="_Toc20669"/>
      <w:bookmarkStart w:id="714" w:name="_Toc246996224"/>
      <w:bookmarkStart w:id="715" w:name="_Toc246996967"/>
      <w:bookmarkStart w:id="716" w:name="_Toc15058900"/>
      <w:bookmarkStart w:id="717" w:name="_Toc506107315"/>
      <w:r>
        <w:rPr>
          <w:rFonts w:hint="eastAsia" w:ascii="宋体" w:hAnsi="宋体" w:eastAsia="宋体" w:cs="宋体"/>
          <w:color w:val="auto"/>
          <w:szCs w:val="21"/>
          <w:highlight w:val="none"/>
        </w:rPr>
        <w:t>9.5.1投标人或者其他利害关系人认为招标投标活动违反法律、法规和规章规定的，有权向相关行政监督部门投诉。投诉应当有明确的请求和必要的证明材料。</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9.5.2投标人和其他利害关系人对招标文件、开标和评标结果事项投诉的，应当按照投标人须知的规定先向招标人提出异议。异议答复期间不计算在第9.5.1项规定的期限内。</w:t>
      </w:r>
    </w:p>
    <w:p>
      <w:pPr>
        <w:pStyle w:val="7"/>
        <w:pageBreakBefore w:val="0"/>
        <w:widowControl w:val="0"/>
        <w:kinsoku/>
        <w:wordWrap/>
        <w:overflowPunct/>
        <w:topLinePunct w:val="0"/>
        <w:autoSpaceDE/>
        <w:autoSpaceDN/>
        <w:bidi w:val="0"/>
        <w:spacing w:beforeLines="50" w:afterLines="50" w:line="420" w:lineRule="exact"/>
        <w:ind w:firstLine="422" w:firstLineChars="200"/>
        <w:textAlignment w:val="auto"/>
        <w:rPr>
          <w:rFonts w:ascii="宋体" w:hAnsi="宋体" w:eastAsia="宋体" w:cs="宋体"/>
          <w:color w:val="auto"/>
          <w:highlight w:val="none"/>
        </w:rPr>
      </w:pPr>
      <w:r>
        <w:rPr>
          <w:rFonts w:hint="eastAsia" w:ascii="宋体" w:hAnsi="宋体" w:eastAsia="宋体" w:cs="宋体"/>
          <w:color w:val="auto"/>
          <w:highlight w:val="none"/>
        </w:rPr>
        <w:t>10.需要补充的其他内容</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color w:val="auto"/>
          <w:szCs w:val="21"/>
          <w:highlight w:val="none"/>
        </w:rPr>
      </w:pPr>
      <w:bookmarkStart w:id="718" w:name="_Toc15058901"/>
      <w:r>
        <w:rPr>
          <w:rFonts w:hint="eastAsia" w:ascii="宋体" w:hAnsi="宋体" w:cs="宋体"/>
          <w:color w:val="auto"/>
          <w:szCs w:val="21"/>
          <w:highlight w:val="none"/>
        </w:rPr>
        <w:t>需要补充的其他内容：见投标人须知前附表。</w:t>
      </w:r>
      <w:bookmarkEnd w:id="718"/>
    </w:p>
    <w:p>
      <w:pPr>
        <w:spacing w:line="440" w:lineRule="exact"/>
        <w:jc w:val="left"/>
        <w:rPr>
          <w:rFonts w:ascii="宋体" w:hAnsi="宋体" w:cs="宋体"/>
          <w:color w:val="auto"/>
          <w:szCs w:val="21"/>
          <w:highlight w:val="none"/>
        </w:rPr>
      </w:pPr>
    </w:p>
    <w:p>
      <w:pPr>
        <w:pageBreakBefore/>
        <w:spacing w:beforeLines="80" w:afterLines="80" w:line="440" w:lineRule="exact"/>
        <w:jc w:val="center"/>
        <w:outlineLvl w:val="0"/>
        <w:rPr>
          <w:rFonts w:ascii="宋体"/>
          <w:b/>
          <w:color w:val="auto"/>
          <w:sz w:val="32"/>
          <w:szCs w:val="32"/>
          <w:highlight w:val="none"/>
        </w:rPr>
      </w:pPr>
      <w:bookmarkStart w:id="719" w:name="_Toc78803375"/>
      <w:bookmarkStart w:id="720" w:name="_Toc5501"/>
      <w:r>
        <w:rPr>
          <w:rFonts w:hint="eastAsia" w:ascii="宋体"/>
          <w:b/>
          <w:color w:val="auto"/>
          <w:sz w:val="32"/>
          <w:szCs w:val="32"/>
          <w:highlight w:val="none"/>
        </w:rPr>
        <w:t>第二章  资格审查</w:t>
      </w:r>
      <w:bookmarkEnd w:id="601"/>
      <w:r>
        <w:rPr>
          <w:rFonts w:hint="eastAsia" w:ascii="宋体"/>
          <w:b/>
          <w:color w:val="auto"/>
          <w:sz w:val="32"/>
          <w:szCs w:val="32"/>
          <w:highlight w:val="none"/>
        </w:rPr>
        <w:t>办法</w:t>
      </w:r>
      <w:bookmarkEnd w:id="602"/>
      <w:bookmarkEnd w:id="603"/>
      <w:bookmarkEnd w:id="604"/>
      <w:bookmarkEnd w:id="605"/>
      <w:bookmarkEnd w:id="719"/>
      <w:bookmarkEnd w:id="720"/>
    </w:p>
    <w:p>
      <w:pPr>
        <w:spacing w:beforeLines="50" w:afterLines="50" w:line="440" w:lineRule="exact"/>
        <w:jc w:val="center"/>
        <w:rPr>
          <w:rFonts w:ascii="宋体" w:hAnsi="宋体" w:cs="宋体"/>
          <w:b/>
          <w:bCs/>
          <w:color w:val="auto"/>
          <w:sz w:val="28"/>
          <w:szCs w:val="22"/>
          <w:highlight w:val="none"/>
        </w:rPr>
      </w:pPr>
      <w:bookmarkStart w:id="721" w:name="_Toc35425106"/>
      <w:bookmarkStart w:id="722" w:name="_Toc506107318"/>
      <w:bookmarkStart w:id="723" w:name="_Toc35424940"/>
      <w:bookmarkStart w:id="724" w:name="_Toc324404865"/>
      <w:bookmarkStart w:id="725" w:name="_Toc15058903"/>
      <w:r>
        <w:rPr>
          <w:rFonts w:hint="eastAsia" w:ascii="宋体" w:hAnsi="宋体" w:cs="宋体"/>
          <w:b/>
          <w:bCs/>
          <w:color w:val="auto"/>
          <w:sz w:val="28"/>
          <w:szCs w:val="22"/>
          <w:highlight w:val="none"/>
        </w:rPr>
        <w:t>资格审查办法前附表</w:t>
      </w:r>
      <w:bookmarkEnd w:id="721"/>
      <w:bookmarkEnd w:id="722"/>
      <w:bookmarkEnd w:id="723"/>
      <w:bookmarkEnd w:id="724"/>
      <w:bookmarkEnd w:id="725"/>
    </w:p>
    <w:p>
      <w:pPr>
        <w:spacing w:beforeLines="50" w:afterLines="50" w:line="440" w:lineRule="exact"/>
        <w:jc w:val="center"/>
        <w:rPr>
          <w:b/>
          <w:bCs/>
          <w:color w:val="auto"/>
          <w:sz w:val="24"/>
          <w:highlight w:val="none"/>
        </w:rPr>
      </w:pPr>
      <w:r>
        <w:rPr>
          <w:rFonts w:hint="eastAsia"/>
          <w:b/>
          <w:bCs/>
          <w:color w:val="auto"/>
          <w:sz w:val="24"/>
          <w:highlight w:val="none"/>
        </w:rPr>
        <w:t>资信证明文件评审</w:t>
      </w:r>
    </w:p>
    <w:tbl>
      <w:tblPr>
        <w:tblStyle w:val="46"/>
        <w:tblW w:w="10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258"/>
        <w:gridCol w:w="6183"/>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3" w:type="dxa"/>
            <w:gridSpan w:val="2"/>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bCs/>
                <w:color w:val="auto"/>
                <w:szCs w:val="21"/>
                <w:highlight w:val="none"/>
              </w:rPr>
            </w:pPr>
            <w:r>
              <w:rPr>
                <w:rFonts w:hint="eastAsia" w:ascii="宋体" w:hAnsi="宋体" w:cs="宋体"/>
                <w:b/>
                <w:bCs/>
                <w:color w:val="auto"/>
                <w:szCs w:val="21"/>
                <w:highlight w:val="none"/>
              </w:rPr>
              <w:t>序号</w:t>
            </w:r>
          </w:p>
        </w:tc>
        <w:tc>
          <w:tcPr>
            <w:tcW w:w="6183" w:type="dxa"/>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bCs/>
                <w:color w:val="auto"/>
                <w:szCs w:val="21"/>
                <w:highlight w:val="none"/>
              </w:rPr>
            </w:pPr>
            <w:r>
              <w:rPr>
                <w:rFonts w:hint="eastAsia" w:ascii="宋体" w:hAnsi="宋体" w:cs="宋体"/>
                <w:b/>
                <w:bCs/>
                <w:color w:val="auto"/>
                <w:szCs w:val="21"/>
                <w:highlight w:val="none"/>
              </w:rPr>
              <w:t>审查内容</w:t>
            </w:r>
          </w:p>
        </w:tc>
        <w:tc>
          <w:tcPr>
            <w:tcW w:w="1860" w:type="dxa"/>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bCs/>
                <w:color w:val="auto"/>
                <w:szCs w:val="21"/>
                <w:highlight w:val="none"/>
              </w:rPr>
            </w:pPr>
            <w:r>
              <w:rPr>
                <w:rFonts w:hint="eastAsia" w:ascii="宋体" w:hAnsi="宋体" w:cs="宋体"/>
                <w:b/>
                <w:bCs/>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65" w:type="dxa"/>
            <w:vMerge w:val="restart"/>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1</w:t>
            </w:r>
          </w:p>
        </w:tc>
        <w:tc>
          <w:tcPr>
            <w:tcW w:w="1258" w:type="dxa"/>
            <w:vMerge w:val="restart"/>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bCs/>
                <w:color w:val="auto"/>
                <w:szCs w:val="21"/>
                <w:highlight w:val="none"/>
              </w:rPr>
            </w:pPr>
            <w:r>
              <w:rPr>
                <w:rFonts w:hint="eastAsia" w:ascii="宋体" w:hAnsi="宋体" w:cs="宋体"/>
                <w:b/>
                <w:bCs/>
                <w:color w:val="auto"/>
                <w:szCs w:val="21"/>
                <w:highlight w:val="none"/>
              </w:rPr>
              <w:t>审查资料</w:t>
            </w:r>
          </w:p>
        </w:tc>
        <w:tc>
          <w:tcPr>
            <w:tcW w:w="6183" w:type="dxa"/>
            <w:noWrap/>
            <w:vAlign w:val="center"/>
          </w:tcPr>
          <w:p>
            <w:pPr>
              <w:keepNext w:val="0"/>
              <w:keepLines w:val="0"/>
              <w:suppressLineNumbers w:val="0"/>
              <w:spacing w:before="0" w:beforeAutospacing="0" w:after="0" w:afterAutospacing="0" w:line="440" w:lineRule="exact"/>
              <w:ind w:left="0" w:right="0"/>
              <w:rPr>
                <w:rFonts w:hint="default" w:ascii="宋体" w:hAnsi="宋体" w:cs="宋体"/>
                <w:color w:val="auto"/>
                <w:szCs w:val="21"/>
                <w:highlight w:val="none"/>
              </w:rPr>
            </w:pPr>
            <w:r>
              <w:rPr>
                <w:rFonts w:hint="eastAsia" w:ascii="宋体" w:hAnsi="宋体" w:cs="宋体"/>
                <w:color w:val="auto"/>
                <w:szCs w:val="21"/>
                <w:highlight w:val="none"/>
              </w:rPr>
              <w:t>法定代表人身份证明文件和本人有效身份证(或法定代表人授权委托书和委托代理人有效身份证)</w:t>
            </w:r>
          </w:p>
        </w:tc>
        <w:tc>
          <w:tcPr>
            <w:tcW w:w="1860" w:type="dxa"/>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color w:val="auto"/>
                <w:szCs w:val="21"/>
                <w:highlight w:val="none"/>
              </w:rPr>
            </w:pPr>
            <w:r>
              <w:rPr>
                <w:rFonts w:hint="eastAsia" w:ascii="宋体" w:hAnsi="宋体" w:cs="宋体"/>
                <w:b/>
                <w:color w:val="auto"/>
                <w:szCs w:val="21"/>
                <w:highlight w:val="none"/>
              </w:rPr>
              <w:t>检验电子标书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65"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color w:val="auto"/>
                <w:szCs w:val="21"/>
                <w:highlight w:val="none"/>
              </w:rPr>
            </w:pPr>
          </w:p>
        </w:tc>
        <w:tc>
          <w:tcPr>
            <w:tcW w:w="1258"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bCs/>
                <w:color w:val="auto"/>
                <w:szCs w:val="21"/>
                <w:highlight w:val="none"/>
              </w:rPr>
            </w:pPr>
          </w:p>
        </w:tc>
        <w:tc>
          <w:tcPr>
            <w:tcW w:w="6183" w:type="dxa"/>
            <w:noWrap/>
            <w:vAlign w:val="center"/>
          </w:tcPr>
          <w:p>
            <w:pPr>
              <w:keepNext w:val="0"/>
              <w:keepLines w:val="0"/>
              <w:suppressLineNumbers w:val="0"/>
              <w:spacing w:before="0" w:beforeAutospacing="0" w:after="0" w:afterAutospacing="0" w:line="440" w:lineRule="exact"/>
              <w:ind w:left="0" w:right="0"/>
              <w:rPr>
                <w:rFonts w:hint="default" w:ascii="宋体" w:hAnsi="宋体" w:cs="宋体"/>
                <w:color w:val="auto"/>
                <w:szCs w:val="21"/>
                <w:highlight w:val="none"/>
              </w:rPr>
            </w:pPr>
            <w:r>
              <w:rPr>
                <w:rFonts w:hint="eastAsia" w:ascii="宋体" w:hAnsi="宋体" w:cs="宋体"/>
                <w:color w:val="auto"/>
                <w:szCs w:val="21"/>
                <w:highlight w:val="none"/>
              </w:rPr>
              <w:t>诚信投标承诺书</w:t>
            </w:r>
          </w:p>
        </w:tc>
        <w:tc>
          <w:tcPr>
            <w:tcW w:w="1860" w:type="dxa"/>
            <w:vMerge w:val="restart"/>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color w:val="auto"/>
                <w:szCs w:val="21"/>
                <w:highlight w:val="none"/>
              </w:rPr>
            </w:pPr>
            <w:r>
              <w:rPr>
                <w:rFonts w:hint="eastAsia" w:ascii="宋体" w:hAnsi="宋体" w:cs="宋体"/>
                <w:b/>
                <w:color w:val="auto"/>
                <w:szCs w:val="21"/>
                <w:highlight w:val="none"/>
              </w:rPr>
              <w:t>检验电子标书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65"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color w:val="auto"/>
                <w:szCs w:val="21"/>
                <w:highlight w:val="none"/>
              </w:rPr>
            </w:pPr>
          </w:p>
        </w:tc>
        <w:tc>
          <w:tcPr>
            <w:tcW w:w="1258"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bCs/>
                <w:color w:val="auto"/>
                <w:szCs w:val="21"/>
                <w:highlight w:val="none"/>
              </w:rPr>
            </w:pPr>
          </w:p>
        </w:tc>
        <w:tc>
          <w:tcPr>
            <w:tcW w:w="6183" w:type="dxa"/>
            <w:noWrap/>
            <w:vAlign w:val="center"/>
          </w:tcPr>
          <w:p>
            <w:pPr>
              <w:keepNext w:val="0"/>
              <w:keepLines w:val="0"/>
              <w:suppressLineNumbers w:val="0"/>
              <w:spacing w:before="0" w:beforeAutospacing="0" w:after="0" w:afterAutospacing="0" w:line="440" w:lineRule="exact"/>
              <w:ind w:left="0" w:right="0"/>
              <w:rPr>
                <w:rFonts w:hint="default" w:ascii="宋体" w:hAnsi="宋体" w:cs="宋体"/>
                <w:color w:val="auto"/>
                <w:szCs w:val="21"/>
                <w:highlight w:val="none"/>
              </w:rPr>
            </w:pPr>
            <w:r>
              <w:rPr>
                <w:rFonts w:hint="eastAsia" w:ascii="宋体" w:hAnsi="宋体" w:cs="宋体"/>
                <w:color w:val="auto"/>
                <w:szCs w:val="21"/>
                <w:highlight w:val="none"/>
              </w:rPr>
              <w:t>企业法人营业执照</w:t>
            </w:r>
          </w:p>
        </w:tc>
        <w:tc>
          <w:tcPr>
            <w:tcW w:w="1860" w:type="dxa"/>
            <w:vMerge w:val="continue"/>
            <w:noWrap/>
            <w:vAlign w:val="center"/>
          </w:tcPr>
          <w:p>
            <w:pPr>
              <w:keepNext w:val="0"/>
              <w:keepLines w:val="0"/>
              <w:suppressLineNumbers w:val="0"/>
              <w:spacing w:before="0" w:beforeAutospacing="0" w:after="0" w:afterAutospacing="0" w:line="440" w:lineRule="exact"/>
              <w:ind w:left="0" w:right="0"/>
              <w:rPr>
                <w:rFonts w:hint="default" w:ascii="宋体" w:hAnsi="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765"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color w:val="auto"/>
                <w:szCs w:val="21"/>
                <w:highlight w:val="none"/>
              </w:rPr>
            </w:pPr>
          </w:p>
        </w:tc>
        <w:tc>
          <w:tcPr>
            <w:tcW w:w="1258"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bCs/>
                <w:color w:val="auto"/>
                <w:szCs w:val="21"/>
                <w:highlight w:val="none"/>
              </w:rPr>
            </w:pPr>
          </w:p>
        </w:tc>
        <w:tc>
          <w:tcPr>
            <w:tcW w:w="6183" w:type="dxa"/>
            <w:noWrap/>
            <w:vAlign w:val="center"/>
          </w:tcPr>
          <w:p>
            <w:pPr>
              <w:keepNext w:val="0"/>
              <w:keepLines w:val="0"/>
              <w:suppressLineNumbers w:val="0"/>
              <w:spacing w:before="0" w:beforeAutospacing="0" w:after="0" w:afterAutospacing="0" w:line="440" w:lineRule="exact"/>
              <w:ind w:left="0" w:right="0"/>
              <w:rPr>
                <w:rFonts w:hint="default" w:ascii="宋体" w:hAnsi="宋体" w:cs="宋体"/>
                <w:color w:val="auto"/>
                <w:szCs w:val="21"/>
                <w:highlight w:val="none"/>
              </w:rPr>
            </w:pPr>
            <w:r>
              <w:rPr>
                <w:rFonts w:hint="eastAsia" w:ascii="宋体" w:hAnsi="宋体" w:cs="宋体"/>
                <w:color w:val="auto"/>
                <w:szCs w:val="21"/>
                <w:highlight w:val="none"/>
              </w:rPr>
              <w:t>企业资质证书</w:t>
            </w:r>
          </w:p>
        </w:tc>
        <w:tc>
          <w:tcPr>
            <w:tcW w:w="1860" w:type="dxa"/>
            <w:vMerge w:val="continue"/>
            <w:noWrap/>
            <w:vAlign w:val="center"/>
          </w:tcPr>
          <w:p>
            <w:pPr>
              <w:keepNext w:val="0"/>
              <w:keepLines w:val="0"/>
              <w:suppressLineNumbers w:val="0"/>
              <w:spacing w:before="0" w:beforeAutospacing="0" w:after="0" w:afterAutospacing="0" w:line="440" w:lineRule="exact"/>
              <w:ind w:left="0" w:right="0"/>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765"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color w:val="auto"/>
                <w:szCs w:val="21"/>
                <w:highlight w:val="none"/>
              </w:rPr>
            </w:pPr>
          </w:p>
        </w:tc>
        <w:tc>
          <w:tcPr>
            <w:tcW w:w="1258"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bCs/>
                <w:color w:val="auto"/>
                <w:szCs w:val="21"/>
                <w:highlight w:val="none"/>
              </w:rPr>
            </w:pPr>
          </w:p>
        </w:tc>
        <w:tc>
          <w:tcPr>
            <w:tcW w:w="6183" w:type="dxa"/>
            <w:noWrap/>
            <w:vAlign w:val="top"/>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textAlignment w:val="auto"/>
              <w:rPr>
                <w:rFonts w:hint="eastAsia" w:ascii="宋体" w:hAnsi="宋体" w:cs="宋体"/>
                <w:color w:val="auto"/>
                <w:szCs w:val="21"/>
                <w:highlight w:val="none"/>
              </w:rPr>
            </w:pPr>
            <w:r>
              <w:rPr>
                <w:rFonts w:hint="eastAsia" w:ascii="宋体" w:hAnsi="宋体" w:cs="宋体"/>
                <w:color w:val="auto"/>
                <w:szCs w:val="21"/>
                <w:highlight w:val="none"/>
              </w:rPr>
              <w:t>企业安全生产许可证</w:t>
            </w:r>
          </w:p>
        </w:tc>
        <w:tc>
          <w:tcPr>
            <w:tcW w:w="1860" w:type="dxa"/>
            <w:vMerge w:val="continue"/>
            <w:noWrap/>
            <w:vAlign w:val="center"/>
          </w:tcPr>
          <w:p>
            <w:pPr>
              <w:keepNext w:val="0"/>
              <w:keepLines w:val="0"/>
              <w:suppressLineNumbers w:val="0"/>
              <w:spacing w:before="0" w:beforeAutospacing="0" w:after="0" w:afterAutospacing="0" w:line="440" w:lineRule="exact"/>
              <w:ind w:left="0" w:right="0"/>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65"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color w:val="auto"/>
                <w:szCs w:val="21"/>
                <w:highlight w:val="none"/>
              </w:rPr>
            </w:pPr>
          </w:p>
        </w:tc>
        <w:tc>
          <w:tcPr>
            <w:tcW w:w="1258"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bCs/>
                <w:color w:val="auto"/>
                <w:szCs w:val="21"/>
                <w:highlight w:val="none"/>
              </w:rPr>
            </w:pPr>
          </w:p>
        </w:tc>
        <w:tc>
          <w:tcPr>
            <w:tcW w:w="6183" w:type="dxa"/>
            <w:noWrap/>
            <w:vAlign w:val="top"/>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textAlignment w:val="auto"/>
              <w:rPr>
                <w:rFonts w:hint="default" w:ascii="宋体" w:hAnsi="宋体" w:cs="宋体"/>
                <w:color w:val="auto"/>
                <w:szCs w:val="21"/>
                <w:highlight w:val="none"/>
              </w:rPr>
            </w:pPr>
            <w:r>
              <w:rPr>
                <w:rFonts w:hint="eastAsia" w:ascii="宋体" w:hAnsi="宋体" w:cs="宋体"/>
                <w:color w:val="auto"/>
                <w:szCs w:val="21"/>
                <w:highlight w:val="none"/>
              </w:rPr>
              <w:t>项目经理（建造师）有效身份证、注册证书以及安全生产考核合格证书（B证）</w:t>
            </w:r>
          </w:p>
        </w:tc>
        <w:tc>
          <w:tcPr>
            <w:tcW w:w="1860" w:type="dxa"/>
            <w:vMerge w:val="continue"/>
            <w:noWrap/>
            <w:vAlign w:val="center"/>
          </w:tcPr>
          <w:p>
            <w:pPr>
              <w:keepNext w:val="0"/>
              <w:keepLines w:val="0"/>
              <w:suppressLineNumbers w:val="0"/>
              <w:spacing w:before="0" w:beforeAutospacing="0" w:after="0" w:afterAutospacing="0" w:line="440" w:lineRule="exact"/>
              <w:ind w:left="0" w:right="0"/>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765"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color w:val="auto"/>
                <w:szCs w:val="21"/>
                <w:highlight w:val="none"/>
              </w:rPr>
            </w:pPr>
          </w:p>
        </w:tc>
        <w:tc>
          <w:tcPr>
            <w:tcW w:w="1258" w:type="dxa"/>
            <w:vMerge w:val="continue"/>
            <w:noWrap/>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bCs/>
                <w:color w:val="auto"/>
                <w:szCs w:val="21"/>
                <w:highlight w:val="none"/>
              </w:rPr>
            </w:pPr>
          </w:p>
        </w:tc>
        <w:tc>
          <w:tcPr>
            <w:tcW w:w="6183" w:type="dxa"/>
            <w:noWrap/>
            <w:vAlign w:val="top"/>
          </w:tcPr>
          <w:p>
            <w:pPr>
              <w:keepNext w:val="0"/>
              <w:keepLines w:val="0"/>
              <w:suppressLineNumbers w:val="0"/>
              <w:spacing w:before="0" w:beforeAutospacing="0" w:after="0" w:afterAutospacing="0" w:line="440" w:lineRule="exact"/>
              <w:ind w:left="0" w:right="0"/>
              <w:rPr>
                <w:rFonts w:hint="default" w:ascii="宋体" w:hAnsi="宋体" w:cs="宋体"/>
                <w:color w:val="auto"/>
                <w:highlight w:val="none"/>
              </w:rPr>
            </w:pPr>
            <w:r>
              <w:rPr>
                <w:rFonts w:hint="eastAsia" w:ascii="宋体" w:hAnsi="宋体" w:cs="宋体"/>
                <w:color w:val="auto"/>
                <w:szCs w:val="21"/>
                <w:highlight w:val="none"/>
              </w:rPr>
              <w:t>投标人的法定代表人(或委托代理人)和拟任项目经理（建造师）须持有社保部门出具的本单位为其缴纳的投标前近三个月连续的养老保险证明（含官网在线打印件，证明文件两个月内有效）（同一人担任不同公司法定代表人的，该法定代表人参加本项目投标时须提供本人在其他公司任法定代表人的营业执照及为其缴纳养老保险证明材料），投标人是事业单位的，暂未缴纳养老保险的，须由其主管部门出具证明；</w:t>
            </w:r>
          </w:p>
        </w:tc>
        <w:tc>
          <w:tcPr>
            <w:tcW w:w="1860" w:type="dxa"/>
            <w:vMerge w:val="continue"/>
            <w:noWrap/>
            <w:vAlign w:val="center"/>
          </w:tcPr>
          <w:p>
            <w:pPr>
              <w:keepNext w:val="0"/>
              <w:keepLines w:val="0"/>
              <w:suppressLineNumbers w:val="0"/>
              <w:spacing w:before="0" w:beforeAutospacing="0" w:after="0" w:afterAutospacing="0" w:line="440" w:lineRule="exact"/>
              <w:ind w:left="0" w:right="0"/>
              <w:rPr>
                <w:rFonts w:hint="default" w:ascii="宋体" w:hAnsi="宋体" w:cs="宋体"/>
                <w:color w:val="auto"/>
                <w:szCs w:val="21"/>
                <w:highlight w:val="none"/>
              </w:rPr>
            </w:pPr>
          </w:p>
        </w:tc>
      </w:tr>
    </w:tbl>
    <w:p>
      <w:pPr>
        <w:spacing w:line="440" w:lineRule="exact"/>
        <w:ind w:firstLine="422" w:firstLineChars="200"/>
        <w:jc w:val="left"/>
        <w:rPr>
          <w:rFonts w:ascii="宋体" w:hAnsi="宋体" w:cs="宋体"/>
          <w:b/>
          <w:bCs/>
          <w:color w:val="auto"/>
          <w:szCs w:val="21"/>
          <w:highlight w:val="none"/>
        </w:rPr>
      </w:pPr>
      <w:r>
        <w:rPr>
          <w:rFonts w:hint="eastAsia" w:ascii="宋体" w:hAnsi="宋体" w:cs="宋体"/>
          <w:b/>
          <w:bCs/>
          <w:color w:val="auto"/>
          <w:szCs w:val="21"/>
          <w:highlight w:val="none"/>
        </w:rPr>
        <w:t>重要提示：</w:t>
      </w:r>
    </w:p>
    <w:p>
      <w:pPr>
        <w:spacing w:line="440" w:lineRule="exact"/>
        <w:ind w:firstLine="422" w:firstLineChars="200"/>
        <w:jc w:val="left"/>
        <w:rPr>
          <w:rFonts w:hint="eastAsia" w:ascii="宋体" w:hAnsi="宋体" w:cs="宋体"/>
          <w:b/>
          <w:bCs/>
          <w:color w:val="auto"/>
          <w:szCs w:val="21"/>
          <w:highlight w:val="none"/>
          <w:lang w:eastAsia="zh-CN"/>
        </w:rPr>
      </w:pPr>
      <w:r>
        <w:rPr>
          <w:rFonts w:hint="eastAsia" w:ascii="宋体" w:hAnsi="宋体" w:cs="宋体"/>
          <w:b/>
          <w:bCs/>
          <w:color w:val="auto"/>
          <w:szCs w:val="21"/>
          <w:highlight w:val="none"/>
        </w:rPr>
        <w:t>（</w:t>
      </w: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）评标专家在检验电子投标文件过程中，如果由于投标人自身原因导致评标专家无法查看并检验电子投标文件中相关资料的，视为无效标处理。即使投标人将原件携带至现场的，同样按无效标处理</w:t>
      </w:r>
      <w:r>
        <w:rPr>
          <w:rFonts w:hint="eastAsia" w:ascii="宋体" w:hAnsi="宋体" w:cs="宋体"/>
          <w:b/>
          <w:bCs/>
          <w:color w:val="auto"/>
          <w:szCs w:val="21"/>
          <w:highlight w:val="none"/>
          <w:lang w:eastAsia="zh-CN"/>
        </w:rPr>
        <w:t>。</w:t>
      </w:r>
    </w:p>
    <w:p>
      <w:pPr>
        <w:spacing w:line="440" w:lineRule="exact"/>
        <w:ind w:firstLine="422" w:firstLineChars="200"/>
        <w:jc w:val="left"/>
        <w:rPr>
          <w:rFonts w:ascii="宋体" w:hAnsi="宋体" w:cs="宋体"/>
          <w:b/>
          <w:bCs/>
          <w:color w:val="auto"/>
          <w:szCs w:val="21"/>
          <w:highlight w:val="none"/>
        </w:rPr>
      </w:pP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lang w:val="en-US" w:eastAsia="zh-CN"/>
        </w:rPr>
        <w:t>2</w:t>
      </w:r>
      <w:r>
        <w:rPr>
          <w:rFonts w:hint="eastAsia" w:ascii="宋体" w:hAnsi="宋体" w:cs="宋体"/>
          <w:b/>
          <w:bCs/>
          <w:color w:val="auto"/>
          <w:szCs w:val="21"/>
          <w:highlight w:val="none"/>
          <w:lang w:eastAsia="zh-CN"/>
        </w:rPr>
        <w:t>）投标人拟委任项目经理为注册建造师（含一级、二级）的，须提供有效的纸质版电子证书。投标人打印纸质电子证书后，应由建造师本人在个人签名栏手写本人签名，或附其本人知情承诺，未手写签名或与签名图片笔迹不一致的，该打印的纸质证书无效（其他省份建造师电子证书执行该省现行政策规定）。投标人应对其提供的纸质版电子证书真实性、有效性负责。投标人提供的安徽省新版二级建造师电子注册证书纸质版需在安徽省住房和城乡建设执业资格注册管理系统中打印，打印后应由二级建造师本人在证书的个人签名处手写本人签名，或在新版二级建造师电子注册证书纸质版后附其本人知情承诺（视为个人签名处的手写本人签名），格式自拟。未手写个人签名或未提供二级建造师本人知情承诺的，个人签名或知情承诺签字与签名图片笔迹不一致，此证书无效。其他省份按各省相关规定执行</w:t>
      </w:r>
      <w:r>
        <w:rPr>
          <w:rFonts w:hint="eastAsia" w:ascii="宋体" w:hAnsi="宋体" w:cs="宋体"/>
          <w:b/>
          <w:bCs/>
          <w:color w:val="auto"/>
          <w:szCs w:val="21"/>
          <w:highlight w:val="none"/>
        </w:rPr>
        <w:t>。</w:t>
      </w:r>
    </w:p>
    <w:p>
      <w:pPr>
        <w:pStyle w:val="7"/>
        <w:spacing w:beforeLines="50" w:afterLines="50"/>
        <w:ind w:firstLine="422" w:firstLineChars="200"/>
        <w:rPr>
          <w:rFonts w:ascii="宋体" w:hAnsi="宋体" w:eastAsia="宋体" w:cs="宋体"/>
          <w:color w:val="auto"/>
          <w:highlight w:val="none"/>
        </w:rPr>
      </w:pPr>
      <w:bookmarkStart w:id="726" w:name="_Toc506107320"/>
      <w:bookmarkStart w:id="727" w:name="_Toc35424942"/>
      <w:bookmarkStart w:id="728" w:name="_Toc78803377"/>
      <w:bookmarkStart w:id="729" w:name="_Toc324404867"/>
      <w:bookmarkStart w:id="730" w:name="_Toc35425108"/>
      <w:bookmarkStart w:id="731" w:name="_Toc15058909"/>
      <w:bookmarkStart w:id="732" w:name="_Toc12549"/>
      <w:r>
        <w:rPr>
          <w:rFonts w:hint="eastAsia" w:ascii="宋体" w:hAnsi="宋体" w:eastAsia="宋体" w:cs="宋体"/>
          <w:color w:val="auto"/>
          <w:highlight w:val="none"/>
        </w:rPr>
        <w:t>2.审查办法</w:t>
      </w:r>
      <w:bookmarkEnd w:id="726"/>
      <w:bookmarkEnd w:id="727"/>
      <w:bookmarkEnd w:id="728"/>
      <w:bookmarkEnd w:id="729"/>
      <w:bookmarkEnd w:id="730"/>
      <w:bookmarkEnd w:id="731"/>
      <w:bookmarkEnd w:id="732"/>
    </w:p>
    <w:p>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由资格审查委员会（评标委员会）按资格审查办法前附表中资格审查必要合格条件评审表要求对投标人审查资料进行核验。</w:t>
      </w:r>
    </w:p>
    <w:p>
      <w:pPr>
        <w:pStyle w:val="7"/>
        <w:spacing w:beforeLines="50" w:afterLines="50"/>
        <w:ind w:firstLine="422" w:firstLineChars="200"/>
        <w:rPr>
          <w:rFonts w:ascii="宋体" w:hAnsi="宋体" w:eastAsia="宋体" w:cs="宋体"/>
          <w:color w:val="auto"/>
          <w:highlight w:val="none"/>
        </w:rPr>
      </w:pPr>
      <w:bookmarkStart w:id="733" w:name="_Toc35425109"/>
      <w:bookmarkStart w:id="734" w:name="_Toc15058910"/>
      <w:bookmarkStart w:id="735" w:name="_Toc15626"/>
      <w:bookmarkStart w:id="736" w:name="_Toc78803378"/>
      <w:bookmarkStart w:id="737" w:name="_Toc324404868"/>
      <w:bookmarkStart w:id="738" w:name="_Toc35424943"/>
      <w:bookmarkStart w:id="739" w:name="_Toc506107321"/>
      <w:r>
        <w:rPr>
          <w:rFonts w:hint="eastAsia" w:ascii="宋体" w:hAnsi="宋体" w:eastAsia="宋体" w:cs="宋体"/>
          <w:color w:val="auto"/>
          <w:highlight w:val="none"/>
        </w:rPr>
        <w:t>3.资格审查委员会和审查标准</w:t>
      </w:r>
      <w:bookmarkEnd w:id="733"/>
      <w:bookmarkEnd w:id="734"/>
      <w:bookmarkEnd w:id="735"/>
      <w:bookmarkEnd w:id="736"/>
      <w:bookmarkEnd w:id="737"/>
      <w:bookmarkEnd w:id="738"/>
      <w:bookmarkEnd w:id="739"/>
    </w:p>
    <w:p>
      <w:pPr>
        <w:spacing w:line="440" w:lineRule="exact"/>
        <w:ind w:firstLine="420" w:firstLineChars="200"/>
        <w:jc w:val="left"/>
        <w:rPr>
          <w:rFonts w:hint="eastAsia" w:ascii="宋体" w:hAnsi="宋体" w:eastAsia="宋体" w:cs="宋体"/>
          <w:color w:val="auto"/>
          <w:szCs w:val="21"/>
          <w:highlight w:val="none"/>
        </w:rPr>
      </w:pPr>
      <w:bookmarkStart w:id="740" w:name="_Toc15058911"/>
      <w:bookmarkStart w:id="741" w:name="_Toc78803379"/>
      <w:bookmarkStart w:id="742" w:name="_Toc10330"/>
      <w:bookmarkStart w:id="743" w:name="_Toc35424944"/>
      <w:bookmarkStart w:id="744" w:name="_Toc35425110"/>
      <w:bookmarkStart w:id="745" w:name="_Toc506107322"/>
      <w:bookmarkStart w:id="746" w:name="_Toc324404869"/>
      <w:r>
        <w:rPr>
          <w:rFonts w:hint="eastAsia" w:ascii="宋体" w:hAnsi="宋体" w:eastAsia="宋体" w:cs="宋体"/>
          <w:color w:val="auto"/>
          <w:szCs w:val="21"/>
          <w:highlight w:val="none"/>
        </w:rPr>
        <w:t>3.1资格审查由招标人依法组建的资格审查委员会（或评标委员会）负责。审查标准见资格审查办法前附表。</w:t>
      </w:r>
    </w:p>
    <w:p>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3.2由资格审查委员会（评标委员会）按资格审查办法前附表要求对投标人的审查资料进行核验。投标申请人有下列情形之一的，其资格审查为不合格： </w:t>
      </w:r>
    </w:p>
    <w:p>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未上传电子标书或电子标书经审查不合格；</w:t>
      </w:r>
    </w:p>
    <w:p>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未</w:t>
      </w:r>
      <w:r>
        <w:rPr>
          <w:rFonts w:hint="eastAsia" w:ascii="宋体" w:hAnsi="宋体" w:eastAsia="宋体" w:cs="宋体"/>
          <w:color w:val="auto"/>
          <w:szCs w:val="21"/>
          <w:highlight w:val="none"/>
        </w:rPr>
        <w:t>按</w:t>
      </w:r>
      <w:r>
        <w:rPr>
          <w:rFonts w:hint="eastAsia" w:ascii="宋体" w:hAnsi="宋体" w:eastAsia="宋体" w:cs="宋体"/>
          <w:color w:val="auto"/>
          <w:szCs w:val="21"/>
          <w:highlight w:val="none"/>
          <w:lang w:val="en-US" w:eastAsia="zh-CN"/>
        </w:rPr>
        <w:t>招标公告</w:t>
      </w:r>
      <w:r>
        <w:rPr>
          <w:rFonts w:hint="eastAsia" w:ascii="宋体" w:hAnsi="宋体" w:eastAsia="宋体" w:cs="宋体"/>
          <w:color w:val="auto"/>
          <w:szCs w:val="21"/>
          <w:highlight w:val="none"/>
        </w:rPr>
        <w:t>要求提交投标保证金的；</w:t>
      </w:r>
    </w:p>
    <w:p>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）法律、法规规定的其他情形。</w:t>
      </w:r>
    </w:p>
    <w:p>
      <w:pPr>
        <w:pStyle w:val="7"/>
        <w:spacing w:beforeLines="50" w:afterLines="50"/>
        <w:ind w:firstLine="422" w:firstLineChars="200"/>
        <w:rPr>
          <w:rFonts w:ascii="宋体" w:hAnsi="宋体" w:eastAsia="宋体" w:cs="宋体"/>
          <w:color w:val="auto"/>
          <w:highlight w:val="none"/>
        </w:rPr>
      </w:pPr>
      <w:r>
        <w:rPr>
          <w:rFonts w:hint="eastAsia" w:ascii="宋体" w:hAnsi="宋体" w:eastAsia="宋体" w:cs="宋体"/>
          <w:color w:val="auto"/>
          <w:highlight w:val="none"/>
        </w:rPr>
        <w:t>4.审查结果</w:t>
      </w:r>
      <w:bookmarkEnd w:id="740"/>
      <w:bookmarkEnd w:id="741"/>
      <w:bookmarkEnd w:id="742"/>
      <w:bookmarkEnd w:id="743"/>
      <w:bookmarkEnd w:id="744"/>
      <w:bookmarkEnd w:id="745"/>
      <w:bookmarkEnd w:id="746"/>
    </w:p>
    <w:p>
      <w:pPr>
        <w:spacing w:line="44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只有通过资格审查的投标人才能进入下一步的评标程序。</w:t>
      </w:r>
      <w:bookmarkStart w:id="747" w:name="_Toc506107323"/>
    </w:p>
    <w:p>
      <w:pPr>
        <w:pStyle w:val="2"/>
        <w:rPr>
          <w:rFonts w:hint="eastAsia" w:ascii="宋体" w:hAnsi="宋体" w:cs="宋体"/>
          <w:color w:val="auto"/>
          <w:highlight w:val="none"/>
        </w:rPr>
      </w:pPr>
    </w:p>
    <w:p>
      <w:pPr>
        <w:rPr>
          <w:rFonts w:hint="eastAsia" w:ascii="宋体" w:hAnsi="宋体" w:cs="宋体"/>
          <w:color w:val="auto"/>
          <w:highlight w:val="none"/>
        </w:rPr>
      </w:pPr>
    </w:p>
    <w:p>
      <w:pPr>
        <w:pStyle w:val="2"/>
        <w:rPr>
          <w:rFonts w:hint="eastAsia" w:ascii="宋体" w:hAnsi="宋体" w:cs="宋体"/>
          <w:color w:val="auto"/>
          <w:highlight w:val="none"/>
        </w:rPr>
      </w:pPr>
    </w:p>
    <w:p>
      <w:pPr>
        <w:rPr>
          <w:rFonts w:hint="eastAsia" w:ascii="宋体" w:hAnsi="宋体" w:cs="宋体"/>
          <w:color w:val="auto"/>
          <w:highlight w:val="none"/>
        </w:rPr>
      </w:pPr>
    </w:p>
    <w:p>
      <w:pPr>
        <w:pStyle w:val="2"/>
        <w:rPr>
          <w:rFonts w:hint="eastAsia" w:ascii="宋体" w:hAnsi="宋体" w:cs="宋体"/>
          <w:color w:val="auto"/>
          <w:highlight w:val="none"/>
        </w:rPr>
      </w:pPr>
    </w:p>
    <w:p>
      <w:pPr>
        <w:rPr>
          <w:rFonts w:hint="eastAsia" w:ascii="宋体" w:hAnsi="宋体" w:cs="宋体"/>
          <w:color w:val="auto"/>
          <w:highlight w:val="none"/>
        </w:rPr>
      </w:pPr>
    </w:p>
    <w:p>
      <w:pPr>
        <w:pStyle w:val="2"/>
        <w:rPr>
          <w:rFonts w:hint="eastAsia" w:ascii="宋体" w:hAnsi="宋体" w:cs="宋体"/>
          <w:color w:val="auto"/>
          <w:highlight w:val="none"/>
        </w:rPr>
      </w:pPr>
    </w:p>
    <w:p>
      <w:pPr>
        <w:rPr>
          <w:rFonts w:hint="eastAsia" w:ascii="宋体" w:hAnsi="宋体" w:cs="宋体"/>
          <w:color w:val="auto"/>
          <w:highlight w:val="none"/>
        </w:rPr>
      </w:pPr>
    </w:p>
    <w:p>
      <w:pPr>
        <w:pStyle w:val="2"/>
        <w:rPr>
          <w:rFonts w:hint="eastAsia" w:ascii="宋体" w:hAnsi="宋体" w:cs="宋体"/>
          <w:color w:val="auto"/>
          <w:highlight w:val="none"/>
        </w:rPr>
      </w:pPr>
    </w:p>
    <w:p>
      <w:pPr>
        <w:rPr>
          <w:rFonts w:hint="eastAsia" w:ascii="宋体" w:hAnsi="宋体" w:cs="宋体"/>
          <w:color w:val="auto"/>
          <w:highlight w:val="none"/>
        </w:rPr>
      </w:pPr>
    </w:p>
    <w:p>
      <w:pPr>
        <w:pStyle w:val="2"/>
        <w:rPr>
          <w:rFonts w:hint="eastAsia" w:ascii="宋体" w:hAnsi="宋体" w:cs="宋体"/>
          <w:color w:val="auto"/>
          <w:highlight w:val="none"/>
        </w:rPr>
      </w:pPr>
    </w:p>
    <w:p>
      <w:pPr>
        <w:rPr>
          <w:rFonts w:hint="eastAsia" w:ascii="宋体" w:hAnsi="宋体" w:cs="宋体"/>
          <w:color w:val="auto"/>
          <w:highlight w:val="none"/>
        </w:rPr>
      </w:pPr>
    </w:p>
    <w:p>
      <w:pPr>
        <w:pStyle w:val="2"/>
        <w:rPr>
          <w:rFonts w:hint="eastAsia"/>
        </w:rPr>
      </w:pPr>
    </w:p>
    <w:p>
      <w:pPr>
        <w:pStyle w:val="2"/>
        <w:rPr>
          <w:rFonts w:hint="eastAsia" w:ascii="宋体" w:hAnsi="宋体" w:cs="宋体"/>
          <w:color w:val="auto"/>
          <w:highlight w:val="none"/>
        </w:rPr>
      </w:pPr>
    </w:p>
    <w:p>
      <w:pPr>
        <w:rPr>
          <w:rFonts w:hint="eastAsia" w:ascii="宋体" w:hAnsi="宋体" w:cs="宋体"/>
          <w:color w:val="auto"/>
          <w:highlight w:val="none"/>
        </w:rPr>
      </w:pPr>
    </w:p>
    <w:p>
      <w:pPr>
        <w:pStyle w:val="2"/>
      </w:pPr>
    </w:p>
    <w:p>
      <w:pPr>
        <w:pStyle w:val="6"/>
        <w:numPr>
          <w:ilvl w:val="0"/>
          <w:numId w:val="0"/>
        </w:numPr>
        <w:spacing w:beforeLines="50" w:afterLines="50"/>
        <w:rPr>
          <w:rFonts w:hint="eastAsia" w:ascii="Arial" w:hAnsi="Arial"/>
          <w:color w:val="auto"/>
          <w:kern w:val="0"/>
          <w:sz w:val="32"/>
          <w:szCs w:val="32"/>
          <w:highlight w:val="none"/>
        </w:rPr>
      </w:pPr>
      <w:bookmarkStart w:id="748" w:name="_Toc35424945"/>
      <w:bookmarkStart w:id="749" w:name="_Toc35425111"/>
      <w:bookmarkStart w:id="750" w:name="_Toc15058912"/>
      <w:r>
        <w:rPr>
          <w:rFonts w:hint="eastAsia" w:ascii="Arial" w:hAnsi="Arial" w:eastAsia="宋体" w:cs="Times New Roman"/>
          <w:b/>
          <w:bCs/>
          <w:color w:val="auto"/>
          <w:kern w:val="0"/>
          <w:sz w:val="32"/>
          <w:szCs w:val="32"/>
          <w:lang w:val="en-US" w:eastAsia="zh-CN" w:bidi="ar-SA"/>
        </w:rPr>
        <w:t>第三章</w:t>
      </w:r>
      <w:bookmarkStart w:id="751" w:name="_Toc78803380"/>
      <w:r>
        <w:rPr>
          <w:rFonts w:hint="eastAsia" w:ascii="Arial" w:hAnsi="Arial"/>
          <w:color w:val="auto"/>
          <w:kern w:val="0"/>
          <w:sz w:val="32"/>
          <w:szCs w:val="32"/>
          <w:highlight w:val="none"/>
        </w:rPr>
        <w:t xml:space="preserve"> </w:t>
      </w:r>
      <w:bookmarkStart w:id="752" w:name="_Toc32602"/>
      <w:bookmarkStart w:id="753" w:name="_Toc1286"/>
      <w:r>
        <w:rPr>
          <w:rFonts w:hint="eastAsia" w:ascii="Arial" w:hAnsi="Arial"/>
          <w:color w:val="auto"/>
          <w:kern w:val="0"/>
          <w:sz w:val="32"/>
          <w:szCs w:val="32"/>
          <w:highlight w:val="none"/>
        </w:rPr>
        <w:t>评标办法</w:t>
      </w:r>
      <w:bookmarkEnd w:id="606"/>
      <w:bookmarkEnd w:id="747"/>
      <w:bookmarkEnd w:id="748"/>
      <w:bookmarkEnd w:id="749"/>
      <w:bookmarkEnd w:id="750"/>
      <w:bookmarkEnd w:id="751"/>
      <w:bookmarkEnd w:id="752"/>
      <w:bookmarkEnd w:id="753"/>
    </w:p>
    <w:p>
      <w:pPr>
        <w:pStyle w:val="28"/>
        <w:keepNext w:val="0"/>
        <w:keepLines w:val="0"/>
        <w:pageBreakBefore w:val="0"/>
        <w:widowControl w:val="0"/>
        <w:numPr>
          <w:ilvl w:val="0"/>
          <w:numId w:val="0"/>
        </w:numPr>
        <w:kinsoku/>
        <w:wordWrap/>
        <w:overflowPunct/>
        <w:topLinePunct w:val="0"/>
        <w:autoSpaceDE/>
        <w:autoSpaceDN/>
        <w:bidi w:val="0"/>
        <w:adjustRightInd/>
        <w:snapToGrid/>
        <w:spacing w:before="95" w:beforeLines="30" w:after="95" w:afterLines="30" w:line="440" w:lineRule="exact"/>
        <w:ind w:leftChars="200"/>
        <w:jc w:val="center"/>
        <w:textAlignment w:val="auto"/>
        <w:rPr>
          <w:rFonts w:hint="eastAsia" w:ascii="Times New Roman" w:hAnsi="Times New Roman" w:eastAsia="宋体" w:cs="Times New Roman"/>
          <w:b/>
          <w:color w:val="auto"/>
          <w:sz w:val="28"/>
          <w:szCs w:val="21"/>
          <w:highlight w:val="none"/>
          <w:lang w:val="en-US" w:eastAsia="zh-CN"/>
        </w:rPr>
      </w:pPr>
      <w:r>
        <w:rPr>
          <w:rFonts w:hint="eastAsia" w:ascii="Times New Roman" w:hAnsi="Times New Roman" w:eastAsia="宋体" w:cs="Times New Roman"/>
          <w:b/>
          <w:color w:val="auto"/>
          <w:sz w:val="28"/>
          <w:szCs w:val="21"/>
          <w:highlight w:val="none"/>
          <w:lang w:val="en-US" w:eastAsia="zh-CN"/>
        </w:rPr>
        <w:t>商务标评审</w:t>
      </w:r>
    </w:p>
    <w:tbl>
      <w:tblPr>
        <w:tblStyle w:val="46"/>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1"/>
        <w:gridCol w:w="1111"/>
        <w:gridCol w:w="913"/>
        <w:gridCol w:w="2275"/>
        <w:gridCol w:w="4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3" w:hRule="atLeast"/>
          <w:jc w:val="center"/>
        </w:trPr>
        <w:tc>
          <w:tcPr>
            <w:tcW w:w="192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center"/>
              <w:rPr>
                <w:rFonts w:hint="eastAsia" w:ascii="宋体" w:hAnsi="宋体" w:eastAsia="宋体" w:cs="宋体"/>
                <w:b/>
                <w:bCs/>
                <w:kern w:val="2"/>
                <w:sz w:val="21"/>
                <w:szCs w:val="21"/>
                <w:highlight w:val="none"/>
              </w:rPr>
            </w:pPr>
            <w:bookmarkStart w:id="754" w:name="_Toc152045589"/>
            <w:bookmarkStart w:id="755" w:name="_Toc179632607"/>
            <w:bookmarkStart w:id="756" w:name="_Toc246996232"/>
            <w:bookmarkStart w:id="757" w:name="_Toc78803381"/>
            <w:bookmarkStart w:id="758" w:name="_Toc6491"/>
            <w:bookmarkStart w:id="759" w:name="_Toc506107324"/>
            <w:bookmarkStart w:id="760" w:name="_Toc15058913"/>
            <w:bookmarkStart w:id="761" w:name="_Toc152042366"/>
            <w:bookmarkStart w:id="762" w:name="_Toc247085747"/>
            <w:bookmarkStart w:id="763" w:name="_Toc246996975"/>
            <w:bookmarkStart w:id="764" w:name="_Toc35425113"/>
            <w:bookmarkStart w:id="765" w:name="_Toc144974556"/>
            <w:bookmarkStart w:id="766" w:name="_Toc35424947"/>
            <w:bookmarkStart w:id="767" w:name="_Toc324404872"/>
            <w:r>
              <w:rPr>
                <w:rFonts w:hint="eastAsia" w:ascii="宋体" w:hAnsi="宋体" w:eastAsia="宋体" w:cs="宋体"/>
                <w:b/>
                <w:bCs/>
                <w:kern w:val="2"/>
                <w:sz w:val="21"/>
                <w:szCs w:val="21"/>
                <w:highlight w:val="none"/>
                <w:lang w:val="en-US" w:eastAsia="zh-CN" w:bidi="ar"/>
              </w:rPr>
              <w:t>序号</w:t>
            </w:r>
          </w:p>
        </w:tc>
        <w:tc>
          <w:tcPr>
            <w:tcW w:w="318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lang w:val="en-US" w:eastAsia="zh-CN" w:bidi="ar"/>
              </w:rPr>
              <w:t>评审因素</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lang w:val="en-US" w:eastAsia="zh-CN" w:bidi="ar"/>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11"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1</w:t>
            </w:r>
          </w:p>
        </w:tc>
        <w:tc>
          <w:tcPr>
            <w:tcW w:w="1111"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形式评审标准</w:t>
            </w:r>
          </w:p>
        </w:tc>
        <w:tc>
          <w:tcPr>
            <w:tcW w:w="318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投标函签字盖章</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有投标人及其法定代表人签字或盖章。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Merge w:val="continue"/>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318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投标文件格式</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符合第七章“投标文件格式”的要求。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11" w:type="dxa"/>
            <w:vMerge w:val="continue"/>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318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商务标签字盖章</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按投标文件格式要求签章。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11" w:type="dxa"/>
            <w:vMerge w:val="continue"/>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318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报价唯一</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只能有一个报价。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1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2</w:t>
            </w:r>
          </w:p>
        </w:tc>
        <w:tc>
          <w:tcPr>
            <w:tcW w:w="111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spacing w:before="0" w:beforeAutospacing="0" w:after="0" w:afterAutospacing="0" w:line="440" w:lineRule="exact"/>
              <w:ind w:left="0" w:right="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响应性评审标准</w:t>
            </w:r>
          </w:p>
        </w:tc>
        <w:tc>
          <w:tcPr>
            <w:tcW w:w="318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工期</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符合投标须知前附表规定。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318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工程质量</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符合投标须知前附表规定。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318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投标有效期</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符合投标须知前附表规定。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318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已标价工程量清单</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与招标人发布的招标工程量清单（含需评审材料清单）排序一致。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318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left"/>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投标</w:t>
            </w:r>
            <w:r>
              <w:rPr>
                <w:rFonts w:hint="eastAsia" w:ascii="宋体" w:hAnsi="宋体" w:cs="宋体"/>
                <w:kern w:val="2"/>
                <w:sz w:val="21"/>
                <w:szCs w:val="21"/>
                <w:highlight w:val="none"/>
                <w:lang w:val="en-US" w:eastAsia="zh-CN" w:bidi="ar"/>
              </w:rPr>
              <w:t>报</w:t>
            </w:r>
            <w:r>
              <w:rPr>
                <w:rFonts w:hint="eastAsia" w:ascii="宋体" w:hAnsi="宋体" w:eastAsia="宋体" w:cs="宋体"/>
                <w:kern w:val="2"/>
                <w:sz w:val="21"/>
                <w:szCs w:val="21"/>
                <w:highlight w:val="none"/>
                <w:lang w:val="en-US" w:eastAsia="zh-CN" w:bidi="ar"/>
              </w:rPr>
              <w:t>价评审</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left"/>
              <w:rPr>
                <w:rFonts w:hint="eastAsia" w:ascii="宋体" w:hAnsi="宋体" w:eastAsia="宋体" w:cs="Times New Roman"/>
                <w:kern w:val="2"/>
                <w:sz w:val="21"/>
                <w:szCs w:val="21"/>
                <w:highlight w:val="none"/>
              </w:rPr>
            </w:pPr>
            <w:r>
              <w:rPr>
                <w:rFonts w:hint="eastAsia" w:ascii="宋体" w:hAnsi="宋体" w:cs="宋体"/>
                <w:color w:val="000000"/>
                <w:spacing w:val="-6"/>
                <w:szCs w:val="21"/>
              </w:rPr>
              <w:t>不得高于最高投标限价，也不得低于工程成本价。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318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暂列金额、专业工程暂估价、分部分项工程材料及设备暂估价</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与招标人发布的招标工程量清单一致。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restart"/>
            <w:tcBorders>
              <w:top w:val="single" w:color="auto" w:sz="4" w:space="0"/>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sz w:val="20"/>
                <w:szCs w:val="20"/>
                <w:highlight w:val="none"/>
                <w:lang w:val="en-US" w:eastAsia="zh-CN"/>
              </w:rPr>
            </w:pPr>
            <w:r>
              <w:rPr>
                <w:rFonts w:hint="eastAsia" w:ascii="宋体" w:hAnsi="宋体" w:eastAsia="宋体" w:cs="宋体"/>
                <w:kern w:val="2"/>
                <w:sz w:val="21"/>
                <w:szCs w:val="21"/>
                <w:highlight w:val="none"/>
                <w:lang w:val="en-US" w:eastAsia="zh-CN"/>
              </w:rPr>
              <w:t>3</w:t>
            </w:r>
          </w:p>
        </w:tc>
        <w:tc>
          <w:tcPr>
            <w:tcW w:w="1111" w:type="dxa"/>
            <w:vMerge w:val="restart"/>
            <w:tcBorders>
              <w:top w:val="single" w:color="auto" w:sz="4" w:space="0"/>
              <w:left w:val="single" w:color="auto" w:sz="4" w:space="0"/>
              <w:right w:val="single" w:color="auto" w:sz="4" w:space="0"/>
            </w:tcBorders>
            <w:shd w:val="clear" w:color="auto" w:fill="auto"/>
            <w:noWrap/>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宋体" w:hAnsi="宋体" w:cs="宋体"/>
                <w:color w:val="000000"/>
                <w:szCs w:val="21"/>
              </w:rPr>
            </w:pPr>
            <w:r>
              <w:rPr>
                <w:rFonts w:hint="eastAsia" w:ascii="宋体" w:hAnsi="宋体" w:cs="宋体"/>
                <w:color w:val="000000"/>
                <w:szCs w:val="21"/>
              </w:rPr>
              <w:t>详细评审标准</w:t>
            </w:r>
          </w:p>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913" w:type="dxa"/>
            <w:vMerge w:val="restart"/>
            <w:tcBorders>
              <w:top w:val="single" w:color="auto" w:sz="4" w:space="0"/>
              <w:left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cs="宋体"/>
                <w:color w:val="000000"/>
                <w:szCs w:val="21"/>
              </w:rPr>
              <w:t>工程成本评审</w:t>
            </w:r>
          </w:p>
        </w:tc>
        <w:tc>
          <w:tcPr>
            <w:tcW w:w="67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投标报价出现下列情形之一的，由评标委员会重点评审后界定其报价是否低于工程成本：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913" w:type="dxa"/>
            <w:vMerge w:val="continue"/>
            <w:tcBorders>
              <w:left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p>
        </w:tc>
        <w:tc>
          <w:tcPr>
            <w:tcW w:w="2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投标报价</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投标报价低于本项目通过资信、且商务标初步评审合格的有效投标报价平均值10%以上。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913" w:type="dxa"/>
            <w:vMerge w:val="continue"/>
            <w:tcBorders>
              <w:left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p>
        </w:tc>
        <w:tc>
          <w:tcPr>
            <w:tcW w:w="2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报价内容完整性</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因投标人原因造成投标报价清单缺漏，缺漏项总额（多算或多报总额不得抵消缺漏项目总额）累计占本项目通过资信、技术评审且商务标初步评审合格有效投标总报价平均值5%以上。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913" w:type="dxa"/>
            <w:vMerge w:val="continue"/>
            <w:tcBorders>
              <w:left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p>
        </w:tc>
        <w:tc>
          <w:tcPr>
            <w:tcW w:w="2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人工工日单价</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不得低于招标人发布的最高投标限价中的人工工日单价。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913" w:type="dxa"/>
            <w:vMerge w:val="continue"/>
            <w:tcBorders>
              <w:left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p>
        </w:tc>
        <w:tc>
          <w:tcPr>
            <w:tcW w:w="2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需评审材料数量</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需评审的主要材料消耗量低于最高投标限价相应材料数量的5%以上，且低于本项目通过资信、技术评审且商务标初步评审合格有效投标报价相应材料消耗量平均值的3%以上。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913" w:type="dxa"/>
            <w:vMerge w:val="continue"/>
            <w:tcBorders>
              <w:left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p>
        </w:tc>
        <w:tc>
          <w:tcPr>
            <w:tcW w:w="2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施工机具使用费</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施工机具使用费低于本项目通过资信、技术评审且商务标初步评审合格有效投标报价施工机具使用费平均值的10%以上。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restart"/>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913" w:type="dxa"/>
            <w:vMerge w:val="continue"/>
            <w:tcBorders>
              <w:left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p>
        </w:tc>
        <w:tc>
          <w:tcPr>
            <w:tcW w:w="2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管理费和利润费率</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管理费、利润投标费率低于0%。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913" w:type="dxa"/>
            <w:vMerge w:val="restart"/>
            <w:tcBorders>
              <w:left w:val="single" w:color="auto" w:sz="4" w:space="0"/>
              <w:right w:val="single" w:color="auto" w:sz="4" w:space="0"/>
            </w:tcBorders>
            <w:shd w:val="clear" w:color="auto" w:fill="auto"/>
            <w:noWrap/>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宋体" w:hAnsi="宋体" w:eastAsia="宋体" w:cs="宋体"/>
                <w:color w:val="000000"/>
                <w:kern w:val="2"/>
                <w:sz w:val="21"/>
                <w:szCs w:val="21"/>
                <w:lang w:val="en-US" w:eastAsia="zh-CN" w:bidi="ar-SA"/>
              </w:rPr>
            </w:pPr>
            <w:r>
              <w:rPr>
                <w:rFonts w:hint="eastAsia" w:ascii="宋体" w:hAnsi="宋体" w:cs="宋体"/>
                <w:color w:val="000000"/>
                <w:szCs w:val="21"/>
              </w:rPr>
              <w:t>无效报价</w:t>
            </w:r>
          </w:p>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p>
        </w:tc>
        <w:tc>
          <w:tcPr>
            <w:tcW w:w="2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暂估价材料、设备</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材料、设备暂估价未按要求计入分部分项工程费。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left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913" w:type="dxa"/>
            <w:vMerge w:val="continue"/>
            <w:tcBorders>
              <w:left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p>
        </w:tc>
        <w:tc>
          <w:tcPr>
            <w:tcW w:w="2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不可竞争项目费费率</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低于建标〔2021〕42号文规定的费率。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Merge w:val="continue"/>
            <w:tcBorders>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11" w:type="dxa"/>
            <w:vMerge w:val="continue"/>
            <w:tcBorders>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913" w:type="dxa"/>
            <w:vMerge w:val="continue"/>
            <w:tcBorders>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p>
        </w:tc>
        <w:tc>
          <w:tcPr>
            <w:tcW w:w="2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税率</w:t>
            </w:r>
          </w:p>
        </w:tc>
        <w:tc>
          <w:tcPr>
            <w:tcW w:w="4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autoSpaceDE w:val="0"/>
              <w:autoSpaceDN/>
              <w:adjustRightInd w:val="0"/>
              <w:snapToGrid w:val="0"/>
              <w:spacing w:before="0" w:beforeAutospacing="0" w:after="0" w:afterAutospacing="0" w:line="440" w:lineRule="exact"/>
              <w:ind w:left="0" w:right="0"/>
              <w:jc w:val="both"/>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低于《关于调整我省现行建设工程计价依据增值税税率的通知》（皖造价〔2019〕7号）规定的费率。</w:t>
            </w:r>
          </w:p>
        </w:tc>
      </w:tr>
    </w:tbl>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商务标评审表注：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）本表所称投标报价是指按招标文件规定修正后的投标总报价（多算投标报价、多报费用不扣减）。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rPr>
      </w:pPr>
      <w:r>
        <w:rPr>
          <w:rFonts w:hint="eastAsia" w:ascii="宋体" w:hAnsi="宋体"/>
          <w:color w:val="000000"/>
          <w:lang w:eastAsia="zh-CN"/>
        </w:rPr>
        <w:t>（</w:t>
      </w:r>
      <w:r>
        <w:rPr>
          <w:rFonts w:hint="eastAsia" w:ascii="宋体" w:hAnsi="宋体"/>
          <w:color w:val="000000"/>
          <w:lang w:val="en-US" w:eastAsia="zh-CN"/>
        </w:rPr>
        <w:t>2</w:t>
      </w:r>
      <w:r>
        <w:rPr>
          <w:rFonts w:hint="eastAsia" w:ascii="宋体" w:hAnsi="宋体"/>
          <w:color w:val="000000"/>
          <w:lang w:eastAsia="zh-CN"/>
        </w:rPr>
        <w:t>）</w:t>
      </w:r>
      <w:r>
        <w:rPr>
          <w:rFonts w:hint="eastAsia" w:ascii="宋体" w:hAnsi="宋体"/>
          <w:color w:val="000000"/>
        </w:rPr>
        <w:t>缺漏项金额是指投标人漏计招标人发布的清单项目，按最高投标限价对应清单综合单价计算缺漏金额。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Times New Roman"/>
          <w:color w:val="000000"/>
          <w:lang w:eastAsia="zh-CN"/>
        </w:rPr>
      </w:pPr>
      <w:r>
        <w:rPr>
          <w:rFonts w:hint="eastAsia" w:ascii="宋体" w:hAnsi="宋体" w:eastAsia="宋体" w:cs="Times New Roman"/>
          <w:color w:val="000000"/>
          <w:lang w:eastAsia="zh-CN"/>
        </w:rPr>
        <w:t>（</w:t>
      </w:r>
      <w:r>
        <w:rPr>
          <w:rFonts w:hint="eastAsia" w:ascii="宋体" w:hAnsi="宋体" w:eastAsia="宋体" w:cs="Times New Roman"/>
          <w:color w:val="000000"/>
          <w:lang w:val="en-US" w:eastAsia="zh-CN"/>
        </w:rPr>
        <w:t>3</w:t>
      </w:r>
      <w:r>
        <w:rPr>
          <w:rFonts w:hint="eastAsia" w:ascii="宋体" w:hAnsi="宋体" w:eastAsia="宋体" w:cs="Times New Roman"/>
          <w:color w:val="000000"/>
          <w:lang w:eastAsia="zh-CN"/>
        </w:rPr>
        <w:t>）本表所述累计投标报价缺漏错总额占原投标报价格5%以下者，视为投标人主动让利或包含在其他项目中，不修正总价，工程结算时亦不予调整。</w:t>
      </w:r>
    </w:p>
    <w:p>
      <w:pPr>
        <w:pStyle w:val="7"/>
        <w:keepNext/>
        <w:keepLines/>
        <w:pageBreakBefore w:val="0"/>
        <w:widowControl w:val="0"/>
        <w:kinsoku/>
        <w:wordWrap/>
        <w:overflowPunct/>
        <w:topLinePunct w:val="0"/>
        <w:autoSpaceDE/>
        <w:autoSpaceDN/>
        <w:bidi w:val="0"/>
        <w:adjustRightInd/>
        <w:snapToGrid/>
        <w:spacing w:beforeLines="50" w:afterLines="50" w:line="440" w:lineRule="exact"/>
        <w:ind w:firstLine="422" w:firstLineChars="200"/>
        <w:textAlignment w:val="auto"/>
        <w:rPr>
          <w:rFonts w:ascii="宋体" w:hAnsi="宋体" w:eastAsia="宋体" w:cs="宋体"/>
          <w:color w:val="auto"/>
          <w:highlight w:val="none"/>
        </w:rPr>
      </w:pPr>
      <w:r>
        <w:rPr>
          <w:rFonts w:hint="eastAsia" w:ascii="宋体" w:hAnsi="宋体" w:eastAsia="宋体" w:cs="宋体"/>
          <w:color w:val="auto"/>
          <w:highlight w:val="none"/>
        </w:rPr>
        <w:t>1.评标方法</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color w:val="auto"/>
          <w:szCs w:val="21"/>
          <w:highlight w:val="none"/>
        </w:rPr>
      </w:pPr>
      <w:bookmarkStart w:id="768" w:name="_Toc506107325"/>
      <w:bookmarkStart w:id="769" w:name="_Toc35425114"/>
      <w:bookmarkStart w:id="770" w:name="_Toc15058914"/>
      <w:bookmarkStart w:id="771" w:name="_Toc11945"/>
      <w:bookmarkStart w:id="772" w:name="_Toc324404873"/>
      <w:bookmarkStart w:id="773" w:name="_Toc78803382"/>
      <w:bookmarkStart w:id="774" w:name="_Toc35424948"/>
      <w:bookmarkStart w:id="775" w:name="_Toc296602478"/>
      <w:bookmarkStart w:id="776" w:name="_Toc246996233"/>
      <w:bookmarkStart w:id="777" w:name="_Toc179632608"/>
      <w:bookmarkStart w:id="778" w:name="_Toc247085748"/>
      <w:bookmarkStart w:id="779" w:name="_Toc152042367"/>
      <w:bookmarkStart w:id="780" w:name="_Toc144974557"/>
      <w:bookmarkStart w:id="781" w:name="_Toc246996976"/>
      <w:bookmarkStart w:id="782" w:name="_Toc152045590"/>
      <w:r>
        <w:rPr>
          <w:rFonts w:hint="eastAsia" w:ascii="宋体" w:hAnsi="宋体" w:eastAsia="宋体" w:cs="宋体"/>
          <w:color w:val="auto"/>
          <w:szCs w:val="21"/>
          <w:highlight w:val="none"/>
        </w:rPr>
        <w:t>本次评标采用最低评标价法。评标委员会对满足招标文件实质性要求的投标文件，最终按投标报价最低原则，推荐有效投标报价最低的为第一中标候选人，次低的为第二中标候选人，以此类推，推荐中标候选人应当不超过3名，并标明排序，但投标报价低于其成本的除外。投标报价最低的有效投标人有两名或两名以上相同时，由评标委员会主任委员或招标人抽签确定第一中标候选人。</w:t>
      </w:r>
    </w:p>
    <w:p>
      <w:pPr>
        <w:pStyle w:val="7"/>
        <w:pageBreakBefore w:val="0"/>
        <w:widowControl w:val="0"/>
        <w:kinsoku/>
        <w:wordWrap/>
        <w:overflowPunct/>
        <w:topLinePunct w:val="0"/>
        <w:autoSpaceDE/>
        <w:autoSpaceDN/>
        <w:bidi w:val="0"/>
        <w:spacing w:beforeLines="50" w:afterLines="50" w:line="440" w:lineRule="exact"/>
        <w:ind w:firstLine="422" w:firstLineChars="200"/>
        <w:textAlignment w:val="auto"/>
        <w:rPr>
          <w:rFonts w:ascii="宋体" w:hAnsi="宋体" w:eastAsia="宋体" w:cs="宋体"/>
          <w:color w:val="auto"/>
          <w:highlight w:val="none"/>
        </w:rPr>
      </w:pPr>
      <w:r>
        <w:rPr>
          <w:rFonts w:hint="eastAsia" w:ascii="宋体" w:hAnsi="宋体" w:eastAsia="宋体" w:cs="宋体"/>
          <w:color w:val="auto"/>
          <w:highlight w:val="none"/>
        </w:rPr>
        <w:t>2.评标委员会的职责</w:t>
      </w:r>
      <w:bookmarkEnd w:id="768"/>
      <w:bookmarkEnd w:id="769"/>
      <w:bookmarkEnd w:id="770"/>
      <w:bookmarkEnd w:id="771"/>
      <w:bookmarkEnd w:id="772"/>
      <w:bookmarkEnd w:id="773"/>
      <w:bookmarkEnd w:id="774"/>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委员会应当根据本评标办法，应进行系统地评审和比较，向招标人推荐中标候选人或根据招标人的授权直接确定中标人。各评委必须独立评审，提出评审意见，不受任何单位或者个人的干预。各评委对其各自评审结果负责，并在评标报告上签字确认。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Cs w:val="21"/>
          <w:highlight w:val="none"/>
        </w:rPr>
      </w:pPr>
      <w:bookmarkStart w:id="783" w:name="_Toc506107326"/>
      <w:bookmarkStart w:id="784" w:name="_Toc17377"/>
      <w:bookmarkStart w:id="785" w:name="_Toc78803384"/>
      <w:bookmarkStart w:id="786" w:name="_Toc35425115"/>
      <w:bookmarkStart w:id="787" w:name="_Toc15058915"/>
      <w:bookmarkStart w:id="788" w:name="_Toc324404874"/>
      <w:bookmarkStart w:id="789" w:name="_Toc35424949"/>
      <w:r>
        <w:rPr>
          <w:rFonts w:hint="eastAsia" w:ascii="宋体" w:hAnsi="宋体" w:cs="宋体"/>
          <w:color w:val="auto"/>
          <w:szCs w:val="21"/>
          <w:highlight w:val="none"/>
        </w:rPr>
        <w:t>评标委员会应加强对报价合理性审查。评标评审委员会认为拟推荐的中标候选人的报价明显低于其他通过符合性审查投标人的报价，存在异常低价，有可能影响项目质量或者不能诚信履约的，应当要求投标人在评标现场合理的时间内提供书面说明，必要时提交相关证明材料；投标人不能证明其报价合理性的，或评标委员会认定其存在履约及质量安全风险的，评标评审委员会应当将其作为无效投标处理。</w:t>
      </w:r>
    </w:p>
    <w:p>
      <w:pPr>
        <w:pStyle w:val="7"/>
        <w:pageBreakBefore w:val="0"/>
        <w:widowControl w:val="0"/>
        <w:kinsoku/>
        <w:wordWrap/>
        <w:overflowPunct/>
        <w:topLinePunct w:val="0"/>
        <w:autoSpaceDE/>
        <w:autoSpaceDN/>
        <w:bidi w:val="0"/>
        <w:spacing w:beforeLines="50" w:afterLines="50" w:line="440" w:lineRule="exact"/>
        <w:ind w:firstLine="422" w:firstLineChars="200"/>
        <w:textAlignment w:val="auto"/>
        <w:rPr>
          <w:rFonts w:ascii="宋体" w:hAnsi="宋体" w:eastAsia="宋体" w:cs="宋体"/>
          <w:color w:val="auto"/>
          <w:highlight w:val="none"/>
        </w:rPr>
      </w:pPr>
      <w:r>
        <w:rPr>
          <w:rFonts w:hint="eastAsia" w:ascii="宋体" w:hAnsi="宋体" w:eastAsia="宋体" w:cs="宋体"/>
          <w:color w:val="auto"/>
          <w:highlight w:val="none"/>
        </w:rPr>
        <w:t>3.评标程序</w:t>
      </w:r>
      <w:bookmarkEnd w:id="783"/>
      <w:bookmarkEnd w:id="784"/>
      <w:bookmarkEnd w:id="785"/>
      <w:bookmarkEnd w:id="786"/>
      <w:bookmarkEnd w:id="787"/>
      <w:bookmarkEnd w:id="788"/>
      <w:bookmarkEnd w:id="789"/>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评标先做准备工作，先进行</w:t>
      </w:r>
      <w:r>
        <w:rPr>
          <w:rFonts w:hint="eastAsia" w:ascii="宋体" w:hAnsi="宋体" w:cs="宋体"/>
          <w:color w:val="auto"/>
          <w:szCs w:val="21"/>
          <w:highlight w:val="none"/>
          <w:lang w:val="en-US" w:eastAsia="zh-CN"/>
        </w:rPr>
        <w:t>资格审查</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然</w:t>
      </w:r>
      <w:r>
        <w:rPr>
          <w:rFonts w:hint="eastAsia" w:ascii="宋体" w:hAnsi="宋体" w:cs="宋体"/>
          <w:color w:val="auto"/>
          <w:szCs w:val="21"/>
          <w:highlight w:val="none"/>
        </w:rPr>
        <w:t>后进行商务标评审。</w:t>
      </w:r>
    </w:p>
    <w:p>
      <w:pPr>
        <w:pStyle w:val="7"/>
        <w:pageBreakBefore w:val="0"/>
        <w:widowControl w:val="0"/>
        <w:kinsoku/>
        <w:wordWrap/>
        <w:overflowPunct/>
        <w:topLinePunct w:val="0"/>
        <w:autoSpaceDE/>
        <w:autoSpaceDN/>
        <w:bidi w:val="0"/>
        <w:spacing w:line="440" w:lineRule="exact"/>
        <w:ind w:firstLine="422" w:firstLineChars="200"/>
        <w:textAlignment w:val="auto"/>
        <w:rPr>
          <w:rFonts w:ascii="宋体" w:hAnsi="宋体" w:eastAsia="宋体" w:cs="宋体"/>
          <w:color w:val="auto"/>
          <w:highlight w:val="none"/>
        </w:rPr>
      </w:pPr>
      <w:bookmarkStart w:id="790" w:name="_Toc15058916"/>
      <w:bookmarkStart w:id="791" w:name="_Toc35425116"/>
      <w:bookmarkStart w:id="792" w:name="_Toc78803385"/>
      <w:bookmarkStart w:id="793" w:name="_Toc35424950"/>
      <w:bookmarkStart w:id="794" w:name="_Toc27389"/>
      <w:r>
        <w:rPr>
          <w:rFonts w:hint="eastAsia" w:ascii="宋体" w:hAnsi="宋体" w:eastAsia="宋体" w:cs="宋体"/>
          <w:color w:val="auto"/>
          <w:highlight w:val="none"/>
        </w:rPr>
        <w:t>3.1评标准备工作</w:t>
      </w:r>
      <w:bookmarkEnd w:id="790"/>
      <w:bookmarkEnd w:id="791"/>
      <w:bookmarkEnd w:id="792"/>
      <w:bookmarkEnd w:id="793"/>
      <w:bookmarkEnd w:id="794"/>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评标委员会熟悉评标工作情况：</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（1）阅读由招标人或者其委托的工程代理机构编制的招标项目情况材料。</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（2）阅读、研究招标文件和相关评标资料，获取评标所需要的重要信息和数据，至少应了解和熟悉以下内容：招标项目的范围和性质，招标文件规定的主要技术要求、标准和商务条款。</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（3）熟悉招标文件规定的评标标准和评标方法及在评标过程中需要考虑的相关因素。</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（4）核对评标工作用表。</w:t>
      </w:r>
    </w:p>
    <w:p>
      <w:pPr>
        <w:pStyle w:val="7"/>
        <w:pageBreakBefore w:val="0"/>
        <w:widowControl w:val="0"/>
        <w:kinsoku/>
        <w:wordWrap/>
        <w:overflowPunct/>
        <w:topLinePunct w:val="0"/>
        <w:autoSpaceDE/>
        <w:autoSpaceDN/>
        <w:bidi w:val="0"/>
        <w:spacing w:line="440" w:lineRule="exact"/>
        <w:ind w:firstLine="422" w:firstLineChars="200"/>
        <w:textAlignment w:val="auto"/>
        <w:rPr>
          <w:rFonts w:hint="eastAsia" w:ascii="宋体" w:hAnsi="宋体" w:eastAsia="宋体" w:cs="宋体"/>
          <w:color w:val="auto"/>
          <w:highlight w:val="none"/>
          <w:lang w:eastAsia="zh-CN"/>
        </w:rPr>
      </w:pPr>
      <w:bookmarkStart w:id="795" w:name="_Toc78803386"/>
      <w:bookmarkStart w:id="796" w:name="_Toc1299"/>
      <w:bookmarkStart w:id="797" w:name="_Toc15058917"/>
      <w:bookmarkStart w:id="798" w:name="_Toc35425117"/>
      <w:bookmarkStart w:id="799" w:name="_Toc35424951"/>
      <w:bookmarkStart w:id="800" w:name="_Toc24650"/>
      <w:bookmarkStart w:id="801" w:name="_Toc506107327"/>
      <w:bookmarkStart w:id="802" w:name="_Toc12200"/>
      <w:bookmarkStart w:id="803" w:name="_Toc35424954"/>
      <w:bookmarkStart w:id="804" w:name="_Toc35425120"/>
      <w:bookmarkStart w:id="805" w:name="_Toc324404875"/>
      <w:bookmarkStart w:id="806" w:name="_Toc15058919"/>
      <w:r>
        <w:rPr>
          <w:rFonts w:hint="eastAsia" w:ascii="宋体" w:hAnsi="宋体" w:eastAsia="宋体" w:cs="宋体"/>
          <w:color w:val="auto"/>
          <w:highlight w:val="none"/>
        </w:rPr>
        <w:t>3.2技术标评审</w:t>
      </w:r>
      <w:bookmarkEnd w:id="795"/>
      <w:bookmarkEnd w:id="796"/>
      <w:bookmarkEnd w:id="797"/>
      <w:bookmarkEnd w:id="798"/>
      <w:bookmarkEnd w:id="799"/>
      <w:bookmarkEnd w:id="800"/>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本项目不采用</w:t>
      </w:r>
      <w:r>
        <w:rPr>
          <w:rFonts w:hint="eastAsia" w:ascii="宋体" w:hAnsi="宋体" w:eastAsia="宋体" w:cs="宋体"/>
          <w:color w:val="auto"/>
          <w:highlight w:val="none"/>
          <w:lang w:eastAsia="zh-CN"/>
        </w:rPr>
        <w:t>）</w:t>
      </w:r>
    </w:p>
    <w:p>
      <w:pPr>
        <w:pageBreakBefore w:val="0"/>
        <w:widowControl w:val="0"/>
        <w:kinsoku/>
        <w:wordWrap/>
        <w:overflowPunct/>
        <w:topLinePunct w:val="0"/>
        <w:autoSpaceDE/>
        <w:autoSpaceDN/>
        <w:bidi w:val="0"/>
        <w:spacing w:line="44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详见技术标评审表。</w:t>
      </w:r>
    </w:p>
    <w:p>
      <w:pPr>
        <w:pStyle w:val="7"/>
        <w:pageBreakBefore w:val="0"/>
        <w:widowControl w:val="0"/>
        <w:kinsoku/>
        <w:wordWrap/>
        <w:overflowPunct/>
        <w:topLinePunct w:val="0"/>
        <w:autoSpaceDE/>
        <w:autoSpaceDN/>
        <w:bidi w:val="0"/>
        <w:spacing w:line="440" w:lineRule="exact"/>
        <w:ind w:firstLine="422" w:firstLineChars="200"/>
        <w:textAlignment w:val="auto"/>
        <w:rPr>
          <w:rFonts w:ascii="宋体" w:hAnsi="宋体" w:eastAsia="宋体" w:cs="宋体"/>
          <w:color w:val="auto"/>
          <w:highlight w:val="none"/>
        </w:rPr>
      </w:pPr>
      <w:bookmarkStart w:id="807" w:name="_Toc11990"/>
      <w:bookmarkStart w:id="808" w:name="_Toc35424952"/>
      <w:bookmarkStart w:id="809" w:name="_Toc15058918"/>
      <w:bookmarkStart w:id="810" w:name="_Toc17468"/>
      <w:bookmarkStart w:id="811" w:name="_Toc78803387"/>
      <w:bookmarkStart w:id="812" w:name="_Toc35425118"/>
      <w:r>
        <w:rPr>
          <w:rFonts w:hint="eastAsia" w:ascii="宋体" w:hAnsi="宋体" w:eastAsia="宋体" w:cs="宋体"/>
          <w:color w:val="auto"/>
          <w:highlight w:val="none"/>
        </w:rPr>
        <w:t>3.3商务标评审</w:t>
      </w:r>
      <w:bookmarkEnd w:id="807"/>
      <w:bookmarkEnd w:id="808"/>
      <w:bookmarkEnd w:id="809"/>
      <w:bookmarkEnd w:id="810"/>
      <w:bookmarkEnd w:id="811"/>
      <w:bookmarkEnd w:id="812"/>
    </w:p>
    <w:p>
      <w:pPr>
        <w:pageBreakBefore w:val="0"/>
        <w:widowControl w:val="0"/>
        <w:kinsoku/>
        <w:wordWrap/>
        <w:overflowPunct/>
        <w:topLinePunct w:val="0"/>
        <w:autoSpaceDE/>
        <w:autoSpaceDN/>
        <w:bidi w:val="0"/>
        <w:spacing w:line="44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详见商务标评审表。</w:t>
      </w:r>
    </w:p>
    <w:p>
      <w:pPr>
        <w:pageBreakBefore w:val="0"/>
        <w:widowControl w:val="0"/>
        <w:kinsoku/>
        <w:wordWrap/>
        <w:overflowPunct/>
        <w:topLinePunct w:val="0"/>
        <w:autoSpaceDE/>
        <w:autoSpaceDN/>
        <w:bidi w:val="0"/>
        <w:spacing w:line="440" w:lineRule="exact"/>
        <w:ind w:firstLine="422" w:firstLineChars="200"/>
        <w:jc w:val="left"/>
        <w:textAlignment w:val="auto"/>
        <w:rPr>
          <w:rStyle w:val="198"/>
          <w:rFonts w:hint="eastAsia" w:ascii="宋体" w:hAnsi="宋体" w:eastAsia="宋体" w:cs="宋体"/>
          <w:color w:val="auto"/>
          <w:highlight w:val="none"/>
        </w:rPr>
      </w:pPr>
      <w:bookmarkStart w:id="813" w:name="_Toc78803388"/>
      <w:bookmarkStart w:id="814" w:name="_Toc35425119"/>
      <w:bookmarkStart w:id="815" w:name="_Toc18087"/>
      <w:bookmarkStart w:id="816" w:name="_Toc35424953"/>
      <w:bookmarkStart w:id="817" w:name="_Toc26895"/>
      <w:r>
        <w:rPr>
          <w:rStyle w:val="198"/>
          <w:rFonts w:hint="eastAsia" w:ascii="宋体" w:hAnsi="宋体" w:eastAsia="宋体" w:cs="宋体"/>
          <w:color w:val="auto"/>
          <w:highlight w:val="none"/>
        </w:rPr>
        <w:t>3.4推荐中标候选人</w:t>
      </w:r>
      <w:bookmarkEnd w:id="813"/>
      <w:bookmarkEnd w:id="814"/>
      <w:bookmarkEnd w:id="815"/>
      <w:bookmarkEnd w:id="816"/>
      <w:bookmarkEnd w:id="817"/>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资信评审、商务标评审后，推荐</w:t>
      </w:r>
      <w:r>
        <w:rPr>
          <w:rFonts w:hint="eastAsia" w:ascii="宋体" w:hAnsi="宋体" w:cs="宋体"/>
          <w:color w:val="auto"/>
          <w:szCs w:val="21"/>
          <w:highlight w:val="none"/>
          <w:u w:val="single"/>
        </w:rPr>
        <w:t>3</w:t>
      </w:r>
      <w:r>
        <w:rPr>
          <w:rFonts w:hint="eastAsia" w:ascii="宋体" w:hAnsi="宋体" w:cs="宋体"/>
          <w:color w:val="auto"/>
          <w:szCs w:val="21"/>
          <w:highlight w:val="none"/>
        </w:rPr>
        <w:t>名中标候选人，并标明排序。</w:t>
      </w:r>
    </w:p>
    <w:p>
      <w:pPr>
        <w:pStyle w:val="7"/>
        <w:pageBreakBefore w:val="0"/>
        <w:widowControl w:val="0"/>
        <w:kinsoku/>
        <w:wordWrap/>
        <w:overflowPunct/>
        <w:topLinePunct w:val="0"/>
        <w:autoSpaceDE/>
        <w:autoSpaceDN/>
        <w:bidi w:val="0"/>
        <w:spacing w:beforeLines="50" w:afterLines="50" w:line="440" w:lineRule="exact"/>
        <w:ind w:firstLine="422" w:firstLineChars="200"/>
        <w:textAlignment w:val="auto"/>
        <w:rPr>
          <w:rFonts w:ascii="宋体" w:hAnsi="宋体" w:eastAsia="宋体" w:cs="宋体"/>
          <w:color w:val="auto"/>
          <w:highlight w:val="none"/>
        </w:rPr>
      </w:pPr>
      <w:bookmarkStart w:id="818" w:name="_Toc78803389"/>
      <w:r>
        <w:rPr>
          <w:rFonts w:hint="eastAsia" w:ascii="宋体" w:hAnsi="宋体" w:eastAsia="宋体" w:cs="宋体"/>
          <w:color w:val="auto"/>
          <w:highlight w:val="none"/>
        </w:rPr>
        <w:t>4.评审内容</w:t>
      </w:r>
      <w:bookmarkEnd w:id="801"/>
      <w:bookmarkEnd w:id="802"/>
      <w:bookmarkEnd w:id="803"/>
      <w:bookmarkEnd w:id="804"/>
      <w:bookmarkEnd w:id="805"/>
      <w:bookmarkEnd w:id="806"/>
      <w:bookmarkEnd w:id="818"/>
    </w:p>
    <w:p>
      <w:pPr>
        <w:pStyle w:val="7"/>
        <w:pageBreakBefore w:val="0"/>
        <w:widowControl w:val="0"/>
        <w:kinsoku/>
        <w:wordWrap/>
        <w:overflowPunct/>
        <w:topLinePunct w:val="0"/>
        <w:autoSpaceDE/>
        <w:autoSpaceDN/>
        <w:bidi w:val="0"/>
        <w:spacing w:line="440" w:lineRule="exact"/>
        <w:ind w:firstLine="422" w:firstLineChars="200"/>
        <w:textAlignment w:val="auto"/>
        <w:rPr>
          <w:rFonts w:ascii="宋体" w:hAnsi="宋体" w:eastAsia="宋体" w:cs="宋体"/>
          <w:color w:val="auto"/>
          <w:highlight w:val="none"/>
        </w:rPr>
      </w:pPr>
      <w:bookmarkStart w:id="819" w:name="_Toc78803390"/>
      <w:bookmarkStart w:id="820" w:name="_Toc9630"/>
      <w:r>
        <w:rPr>
          <w:rFonts w:hint="eastAsia" w:ascii="宋体" w:hAnsi="宋体" w:eastAsia="宋体" w:cs="宋体"/>
          <w:color w:val="auto"/>
          <w:highlight w:val="none"/>
        </w:rPr>
        <w:t>4.1</w:t>
      </w:r>
      <w:bookmarkEnd w:id="819"/>
      <w:bookmarkEnd w:id="820"/>
      <w:bookmarkStart w:id="821" w:name="_Toc15058921"/>
      <w:bookmarkStart w:id="822" w:name="_Toc35424956"/>
      <w:bookmarkStart w:id="823" w:name="_Toc78803391"/>
      <w:bookmarkStart w:id="824" w:name="_Toc35425122"/>
      <w:bookmarkStart w:id="825" w:name="_Toc3531"/>
      <w:bookmarkStart w:id="826" w:name="_Toc324404876"/>
      <w:r>
        <w:rPr>
          <w:rFonts w:hint="eastAsia" w:ascii="宋体" w:hAnsi="宋体" w:eastAsia="宋体" w:cs="宋体"/>
          <w:color w:val="auto"/>
          <w:highlight w:val="none"/>
        </w:rPr>
        <w:t>商务标评审</w:t>
      </w:r>
      <w:bookmarkEnd w:id="821"/>
      <w:bookmarkEnd w:id="822"/>
      <w:bookmarkEnd w:id="823"/>
      <w:bookmarkEnd w:id="824"/>
      <w:bookmarkEnd w:id="825"/>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只有通过技术标评审的投标才能够进入本阶段评审。</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4.1.1形式性评审标准：见商务标评审表。</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4.1.2响应性评审标准：见商务标评审表。</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评标委员会依据上述标准对投标文件进行初步评审。有一项不符合评审标准的，作无效投标处理。</w:t>
      </w:r>
    </w:p>
    <w:p>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.3详细评审标准：见商务标评审表。</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highlight w:val="none"/>
        </w:rPr>
      </w:pPr>
      <w:bookmarkStart w:id="827" w:name="_Toc506107328"/>
      <w:bookmarkStart w:id="828" w:name="_Toc35425123"/>
      <w:bookmarkStart w:id="829" w:name="_Toc13125"/>
      <w:bookmarkStart w:id="830" w:name="_Toc15058922"/>
      <w:bookmarkStart w:id="831" w:name="_Toc78803392"/>
      <w:bookmarkStart w:id="832" w:name="_Toc35424957"/>
      <w:r>
        <w:rPr>
          <w:rFonts w:hint="eastAsia" w:ascii="宋体" w:hAnsi="宋体" w:eastAsia="宋体" w:cs="宋体"/>
          <w:color w:val="auto"/>
          <w:highlight w:val="none"/>
        </w:rPr>
        <w:t>4.</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4评标委员会审查投标文件，审核并确认清标结果，包括工程投标报价的校核、审查全部数据计算的正确性、分析各种费用构成的合理性和正确性等内容，看其是否有计算或表达上的错误，投标报价有错误的，评标委员会按以下原则对投标报价进行修正。</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（1）投标文件中的大写金额与小写金额不一致的，以大写金额为准。</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（2）总价金额与依据单价计算出的结果不一致的，以单价金额为准修正总价，但单价金额小数点有明显错误的除外。</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（3）工程量清单报价表中综合单价与工程量清单项目价格分析表相对应综合单价不一致时，以工程量清单项目价格分析表中标出的综合单价为准。</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按上述修正错误的原则及方法调整或修正投标文件的投标报价，调整或修正的价格经投标人书面确认后具有约束力。中标价原则上以调整或修正后的价格为准，调整或修正后的价格与投标报价相比，价格低的为中标价。投标人不接受的，其投标将被拒绝。</w:t>
      </w:r>
    </w:p>
    <w:p>
      <w:pPr>
        <w:pStyle w:val="7"/>
        <w:pageBreakBefore w:val="0"/>
        <w:widowControl w:val="0"/>
        <w:kinsoku/>
        <w:wordWrap/>
        <w:overflowPunct/>
        <w:topLinePunct w:val="0"/>
        <w:autoSpaceDE/>
        <w:autoSpaceDN/>
        <w:bidi w:val="0"/>
        <w:spacing w:beforeLines="50" w:afterLines="50" w:line="440" w:lineRule="exact"/>
        <w:ind w:firstLine="422" w:firstLineChars="200"/>
        <w:textAlignment w:val="auto"/>
        <w:rPr>
          <w:rFonts w:ascii="宋体" w:hAnsi="宋体" w:eastAsia="宋体" w:cs="宋体"/>
          <w:color w:val="auto"/>
          <w:highlight w:val="none"/>
        </w:rPr>
      </w:pPr>
      <w:r>
        <w:rPr>
          <w:rFonts w:hint="eastAsia" w:ascii="宋体" w:hAnsi="宋体" w:eastAsia="宋体" w:cs="宋体"/>
          <w:color w:val="auto"/>
          <w:highlight w:val="none"/>
        </w:rPr>
        <w:t>5.无效投标条款</w:t>
      </w:r>
      <w:bookmarkEnd w:id="826"/>
      <w:bookmarkEnd w:id="827"/>
      <w:bookmarkEnd w:id="828"/>
      <w:bookmarkEnd w:id="829"/>
      <w:bookmarkEnd w:id="830"/>
      <w:bookmarkEnd w:id="831"/>
      <w:bookmarkEnd w:id="832"/>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5.1投标人存在下列情形的的招标人将拒收投标文件：</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（1）未在投标截止时间前通过</w:t>
      </w:r>
      <w:r>
        <w:rPr>
          <w:rFonts w:hint="eastAsia" w:ascii="宋体" w:hAnsi="宋体" w:cs="宋体"/>
          <w:color w:val="auto"/>
          <w:szCs w:val="21"/>
          <w:highlight w:val="none"/>
          <w:lang w:val="en-US" w:eastAsia="zh-CN"/>
        </w:rPr>
        <w:t>邮箱</w:t>
      </w:r>
      <w:r>
        <w:rPr>
          <w:rFonts w:hint="eastAsia" w:ascii="宋体" w:hAnsi="宋体" w:cs="宋体"/>
          <w:color w:val="auto"/>
          <w:szCs w:val="21"/>
          <w:highlight w:val="none"/>
        </w:rPr>
        <w:t>递交有效电子投标文件的，投标将被拒绝。</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投标人有下列情形的，经评审后其投标作无效投标处理：</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.1商标评审</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评标委员会依据《商务标评审表》进行形式性评审和响应性评审。有一项不符合评审标准的，做无效投标处理；</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（2）商务标详细评审标准中有任何一项不能通过评审的，作无效投标处理。</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其他无效投标情况：</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评标委员会发现投标人的投标报价明显低于其他投标报价，使得其投标报价可能低于其成本的，应当要求该投标人作出书面说明并提供相应的证明材料。投标人不能合理说明或者不能提供相应证明材料的，由评标委员会认定该投标人以低于成本报价竞标，其投标作无效投标处理。</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（2）按第三章《评标方法》4.</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.4条款修正错误的原则及方法调整或修正投标文件的投标报价，调整或修正的价格经投标人书面确认后具有约束力。投标人不接修正价格的，其投标将被拒绝。</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）投标人有串通投标、视为串通投标、弄虚作假、行贿等违法行为。</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）投标文件没有对招标文件的实质性要求和条件作出响应。</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）未按规定的格式填写导致实质性内容不全以及实质上不响应，或者关键字迹模糊、无法辨认的。</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）同一投标人提交两个以上不同的投标文件或者投标报价，但招标文件规定提交备选投标的除外。</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）投标文件中存在招标人不能接受的其他实质性条件。</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）投标文件中填报的拟任项目经理（建造师）与资格审查通过的项目经理（建造师）前后不一致的。</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）投标人拒不按照要求对投标文件进行澄清、说明、补正的，或评标委员会根据招标文件的规定对招标文件的计算错误进行修正后，投标人不接受修正的投标报价的。</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）投标人单方面出现其他投标人材料。</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）投标人联系人或联系电话相同的。</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法律、法规规定的其他情形。</w:t>
      </w:r>
    </w:p>
    <w:p>
      <w:pPr>
        <w:pStyle w:val="7"/>
        <w:pageBreakBefore w:val="0"/>
        <w:widowControl w:val="0"/>
        <w:kinsoku/>
        <w:wordWrap/>
        <w:overflowPunct/>
        <w:topLinePunct w:val="0"/>
        <w:autoSpaceDE/>
        <w:autoSpaceDN/>
        <w:bidi w:val="0"/>
        <w:spacing w:beforeLines="50" w:afterLines="50" w:line="440" w:lineRule="exact"/>
        <w:ind w:firstLine="422" w:firstLineChars="200"/>
        <w:textAlignment w:val="auto"/>
        <w:rPr>
          <w:rFonts w:ascii="宋体" w:hAnsi="宋体" w:eastAsia="宋体" w:cs="宋体"/>
          <w:color w:val="auto"/>
          <w:highlight w:val="none"/>
        </w:rPr>
      </w:pPr>
      <w:bookmarkStart w:id="833" w:name="_Toc324404877"/>
      <w:bookmarkStart w:id="834" w:name="_Toc15058923"/>
      <w:bookmarkStart w:id="835" w:name="_Toc78803393"/>
      <w:bookmarkStart w:id="836" w:name="_Toc35425124"/>
      <w:bookmarkStart w:id="837" w:name="_Toc27846"/>
      <w:bookmarkStart w:id="838" w:name="_Toc506107329"/>
      <w:bookmarkStart w:id="839" w:name="_Toc35424958"/>
      <w:r>
        <w:rPr>
          <w:rFonts w:hint="eastAsia" w:ascii="宋体" w:hAnsi="宋体" w:eastAsia="宋体" w:cs="宋体"/>
          <w:color w:val="auto"/>
          <w:highlight w:val="none"/>
        </w:rPr>
        <w:t>6.投标文件的澄清和补正</w:t>
      </w:r>
      <w:bookmarkEnd w:id="833"/>
      <w:bookmarkEnd w:id="834"/>
      <w:bookmarkEnd w:id="835"/>
      <w:bookmarkEnd w:id="836"/>
      <w:bookmarkEnd w:id="837"/>
      <w:bookmarkEnd w:id="838"/>
      <w:bookmarkEnd w:id="839"/>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6.1在评标过程中，评标委员会可以要求投标人对所提交的投标文件中不明确的内容进行书面澄清或说明，或者对细微偏差进行补正。评标委员会不接受投标人主动提出的澄清、说明或补正。</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6.2澄清、说明和补正不得改变投标文件的实质性内容（算术性错误修正的除外）。投标人的书面澄清、说明和补正属于投标文件的组成部分。</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6.3评标委员会对投标人提交的澄清、说明和补正有疑问的，可以要求投标人进一步澄清、说明或补正、直至满足评标委员会的要求。</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按照投标文件规定进行澄清、补正后的投标报价经投标人的法定代表人或其委托代理人确认后即为该投标人的最终投标报价。投标人一旦中标，此报价即为中标价。</w:t>
      </w:r>
    </w:p>
    <w:p>
      <w:pPr>
        <w:pStyle w:val="7"/>
        <w:pageBreakBefore w:val="0"/>
        <w:widowControl w:val="0"/>
        <w:kinsoku/>
        <w:wordWrap/>
        <w:overflowPunct/>
        <w:topLinePunct w:val="0"/>
        <w:autoSpaceDE/>
        <w:autoSpaceDN/>
        <w:bidi w:val="0"/>
        <w:spacing w:beforeLines="50" w:afterLines="50" w:line="440" w:lineRule="exact"/>
        <w:ind w:firstLine="422" w:firstLineChars="200"/>
        <w:textAlignment w:val="auto"/>
        <w:rPr>
          <w:rFonts w:ascii="宋体" w:hAnsi="宋体" w:eastAsia="宋体" w:cs="宋体"/>
          <w:color w:val="auto"/>
          <w:highlight w:val="none"/>
        </w:rPr>
      </w:pPr>
      <w:bookmarkStart w:id="840" w:name="_Toc35424959"/>
      <w:bookmarkStart w:id="841" w:name="_Toc506107330"/>
      <w:bookmarkStart w:id="842" w:name="_Toc35425125"/>
      <w:bookmarkStart w:id="843" w:name="_Toc324404878"/>
      <w:bookmarkStart w:id="844" w:name="_Toc13990"/>
      <w:bookmarkStart w:id="845" w:name="_Toc78803394"/>
      <w:bookmarkStart w:id="846" w:name="_Toc15058924"/>
      <w:r>
        <w:rPr>
          <w:rFonts w:hint="eastAsia" w:ascii="宋体" w:hAnsi="宋体" w:eastAsia="宋体" w:cs="宋体"/>
          <w:color w:val="auto"/>
          <w:highlight w:val="none"/>
        </w:rPr>
        <w:t>7.评分标准</w:t>
      </w:r>
      <w:bookmarkEnd w:id="840"/>
      <w:bookmarkEnd w:id="841"/>
      <w:bookmarkEnd w:id="842"/>
      <w:bookmarkEnd w:id="843"/>
      <w:bookmarkEnd w:id="844"/>
      <w:bookmarkEnd w:id="845"/>
      <w:bookmarkEnd w:id="846"/>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商务标评分标准：见商务标评审表。</w:t>
      </w:r>
    </w:p>
    <w:p>
      <w:pPr>
        <w:pStyle w:val="7"/>
        <w:pageBreakBefore w:val="0"/>
        <w:widowControl w:val="0"/>
        <w:kinsoku/>
        <w:wordWrap/>
        <w:overflowPunct/>
        <w:topLinePunct w:val="0"/>
        <w:autoSpaceDE/>
        <w:autoSpaceDN/>
        <w:bidi w:val="0"/>
        <w:spacing w:beforeLines="50" w:afterLines="50" w:line="440" w:lineRule="exact"/>
        <w:ind w:firstLine="422" w:firstLineChars="200"/>
        <w:textAlignment w:val="auto"/>
        <w:rPr>
          <w:rFonts w:ascii="宋体" w:hAnsi="宋体" w:eastAsia="宋体" w:cs="宋体"/>
          <w:color w:val="auto"/>
          <w:highlight w:val="none"/>
        </w:rPr>
      </w:pPr>
      <w:bookmarkStart w:id="847" w:name="_Toc22863"/>
      <w:bookmarkStart w:id="848" w:name="_Toc78803395"/>
      <w:bookmarkStart w:id="849" w:name="_Toc15058925"/>
      <w:bookmarkStart w:id="850" w:name="_Toc506107331"/>
      <w:bookmarkStart w:id="851" w:name="_Toc324404879"/>
      <w:bookmarkStart w:id="852" w:name="_Toc35424960"/>
      <w:bookmarkStart w:id="853" w:name="_Toc35425126"/>
      <w:r>
        <w:rPr>
          <w:rFonts w:hint="eastAsia" w:ascii="宋体" w:hAnsi="宋体" w:eastAsia="宋体" w:cs="宋体"/>
          <w:color w:val="auto"/>
          <w:highlight w:val="none"/>
        </w:rPr>
        <w:t>8.评审结果</w:t>
      </w:r>
      <w:bookmarkEnd w:id="847"/>
      <w:bookmarkEnd w:id="848"/>
      <w:bookmarkEnd w:id="849"/>
      <w:bookmarkEnd w:id="850"/>
      <w:bookmarkEnd w:id="851"/>
      <w:bookmarkEnd w:id="852"/>
      <w:bookmarkEnd w:id="853"/>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8.1除投标人须知前附表授权直接确定中标人外，评标委员会按照总得分由高到低顺序推荐中标候选人。</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8.2评标委员会完成评标后，应当向招标人提交书面评标报告。评标报告应当如实记载以下内容：</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（1）基本情况和数据表。</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（2）评标委员会成员名单。</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（3）开标记录。</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（4）符合要求的投标人一览表。</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（5）否决投标情况说明。</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（6）评标标准、评标方法或者评标因素。</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（7）评标情况一览表。</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（8）经评审的投标人排序。</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（9）推荐的中标候选人名单与签订合同前要处理的事宜。</w:t>
      </w:r>
    </w:p>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（10）澄清、说明、补正事项纪要。</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Cs w:val="21"/>
          <w:highlight w:val="none"/>
        </w:rPr>
        <w:t>8.3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pageBreakBefore w:val="0"/>
        <w:widowControl w:val="0"/>
        <w:kinsoku/>
        <w:wordWrap/>
        <w:overflowPunct/>
        <w:topLinePunct w:val="0"/>
        <w:autoSpaceDE/>
        <w:autoSpaceDN/>
        <w:bidi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依法必须进行招标的项目，除第一中标候选人或者中标人以外的其他投标人存在串通投标、弄虚作假、行贿情形且在评标过程中未被发现的，视为对中标结果没有造成实质性影响，招标人可以依法继续开展招标活动。</w:t>
      </w:r>
    </w:p>
    <w:p>
      <w:pPr>
        <w:pStyle w:val="7"/>
        <w:pageBreakBefore w:val="0"/>
        <w:widowControl w:val="0"/>
        <w:kinsoku/>
        <w:wordWrap/>
        <w:overflowPunct/>
        <w:topLinePunct w:val="0"/>
        <w:autoSpaceDE/>
        <w:autoSpaceDN/>
        <w:bidi w:val="0"/>
        <w:spacing w:beforeLines="50" w:afterLines="50" w:line="440" w:lineRule="exact"/>
        <w:ind w:firstLine="422" w:firstLineChars="200"/>
        <w:textAlignment w:val="auto"/>
        <w:rPr>
          <w:rFonts w:ascii="宋体" w:hAnsi="宋体" w:eastAsia="宋体" w:cs="宋体"/>
          <w:color w:val="auto"/>
          <w:highlight w:val="none"/>
        </w:rPr>
      </w:pPr>
      <w:bookmarkStart w:id="854" w:name="_Toc35424961"/>
      <w:bookmarkStart w:id="855" w:name="_Toc78803396"/>
      <w:bookmarkStart w:id="856" w:name="_Toc506107332"/>
      <w:bookmarkStart w:id="857" w:name="_Toc324404880"/>
      <w:bookmarkStart w:id="858" w:name="_Toc35425127"/>
      <w:bookmarkStart w:id="859" w:name="_Toc1576"/>
      <w:bookmarkStart w:id="860" w:name="_Toc15058926"/>
      <w:r>
        <w:rPr>
          <w:rFonts w:hint="eastAsia" w:ascii="宋体" w:hAnsi="宋体" w:eastAsia="宋体" w:cs="宋体"/>
          <w:color w:val="auto"/>
          <w:highlight w:val="none"/>
        </w:rPr>
        <w:t>9.其他</w:t>
      </w:r>
      <w:bookmarkEnd w:id="854"/>
      <w:bookmarkEnd w:id="855"/>
      <w:bookmarkEnd w:id="856"/>
      <w:bookmarkEnd w:id="857"/>
      <w:bookmarkEnd w:id="858"/>
      <w:bookmarkEnd w:id="859"/>
      <w:bookmarkEnd w:id="860"/>
    </w:p>
    <w:bookmarkEnd w:id="775"/>
    <w:bookmarkEnd w:id="776"/>
    <w:bookmarkEnd w:id="777"/>
    <w:bookmarkEnd w:id="778"/>
    <w:bookmarkEnd w:id="779"/>
    <w:bookmarkEnd w:id="780"/>
    <w:bookmarkEnd w:id="781"/>
    <w:bookmarkEnd w:id="782"/>
    <w:p>
      <w:pPr>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Cs w:val="21"/>
          <w:highlight w:val="none"/>
        </w:rPr>
      </w:pPr>
      <w:bookmarkStart w:id="861" w:name="_Toc35424962"/>
      <w:bookmarkStart w:id="862" w:name="_Toc506107333"/>
      <w:bookmarkStart w:id="863" w:name="_Toc15058927"/>
      <w:bookmarkStart w:id="864" w:name="_Toc35425128"/>
      <w:bookmarkStart w:id="865" w:name="_Toc179632785"/>
      <w:bookmarkStart w:id="866" w:name="_Toc152045767"/>
      <w:bookmarkStart w:id="867" w:name="_Toc152042546"/>
      <w:bookmarkStart w:id="868" w:name="_Toc144974826"/>
      <w:r>
        <w:rPr>
          <w:rFonts w:hint="eastAsia" w:ascii="宋体" w:hAnsi="宋体" w:eastAsia="宋体" w:cs="宋体"/>
          <w:color w:val="auto"/>
          <w:szCs w:val="21"/>
          <w:highlight w:val="none"/>
        </w:rPr>
        <w:t>投标人提供的与投标文件有关的各类证书、证明、文件、资料等的真实性、合法性由投标人负全责。</w:t>
      </w:r>
    </w:p>
    <w:p>
      <w:pPr>
        <w:rPr>
          <w:color w:val="auto"/>
          <w:highlight w:val="none"/>
        </w:rPr>
      </w:pPr>
    </w:p>
    <w:p>
      <w:pPr>
        <w:rPr>
          <w:rFonts w:hint="eastAsia"/>
          <w:color w:val="auto"/>
          <w:highlight w:val="none"/>
        </w:rPr>
      </w:pPr>
      <w:r>
        <w:rPr>
          <w:rFonts w:hint="eastAsia"/>
          <w:color w:val="auto"/>
          <w:highlight w:val="none"/>
        </w:rPr>
        <w:br w:type="page"/>
      </w:r>
      <w:bookmarkStart w:id="869" w:name="_Toc78803397"/>
    </w:p>
    <w:bookmarkEnd w:id="861"/>
    <w:bookmarkEnd w:id="862"/>
    <w:bookmarkEnd w:id="863"/>
    <w:bookmarkEnd w:id="864"/>
    <w:bookmarkEnd w:id="869"/>
    <w:p>
      <w:pPr>
        <w:pStyle w:val="6"/>
        <w:rPr>
          <w:rFonts w:hint="eastAsia" w:ascii="Arial" w:hAnsi="Arial"/>
          <w:color w:val="auto"/>
          <w:kern w:val="0"/>
          <w:sz w:val="32"/>
          <w:szCs w:val="32"/>
          <w:highlight w:val="none"/>
        </w:rPr>
      </w:pPr>
      <w:bookmarkStart w:id="870" w:name="_Toc16721"/>
    </w:p>
    <w:p>
      <w:pPr>
        <w:pStyle w:val="6"/>
        <w:rPr>
          <w:color w:val="auto"/>
          <w:highlight w:val="none"/>
        </w:rPr>
      </w:pPr>
      <w:bookmarkStart w:id="871" w:name="_Toc27074"/>
      <w:bookmarkStart w:id="872" w:name="_Toc8750"/>
      <w:r>
        <w:rPr>
          <w:rFonts w:hint="eastAsia" w:ascii="Arial" w:hAnsi="Arial"/>
          <w:color w:val="auto"/>
          <w:kern w:val="0"/>
          <w:sz w:val="32"/>
          <w:szCs w:val="32"/>
          <w:highlight w:val="none"/>
        </w:rPr>
        <w:t>第</w:t>
      </w:r>
      <w:r>
        <w:rPr>
          <w:rFonts w:hint="eastAsia" w:ascii="Arial" w:hAnsi="Arial"/>
          <w:color w:val="auto"/>
          <w:kern w:val="0"/>
          <w:sz w:val="32"/>
          <w:szCs w:val="32"/>
          <w:highlight w:val="none"/>
          <w:lang w:val="en-US" w:eastAsia="zh-CN"/>
        </w:rPr>
        <w:t>四</w:t>
      </w:r>
      <w:r>
        <w:rPr>
          <w:rFonts w:hint="eastAsia" w:ascii="Arial" w:hAnsi="Arial"/>
          <w:color w:val="auto"/>
          <w:kern w:val="0"/>
          <w:sz w:val="32"/>
          <w:szCs w:val="32"/>
          <w:highlight w:val="none"/>
        </w:rPr>
        <w:t>章  合同条款及格式</w:t>
      </w:r>
      <w:bookmarkEnd w:id="870"/>
      <w:bookmarkEnd w:id="871"/>
      <w:bookmarkEnd w:id="872"/>
    </w:p>
    <w:p>
      <w:pPr>
        <w:spacing w:line="360" w:lineRule="auto"/>
        <w:jc w:val="center"/>
        <w:rPr>
          <w:rFonts w:ascii="仿宋_GB2312" w:eastAsia="仿宋_GB2312"/>
          <w:b/>
          <w:color w:val="auto"/>
          <w:sz w:val="28"/>
          <w:szCs w:val="28"/>
          <w:highlight w:val="none"/>
        </w:rPr>
      </w:pPr>
    </w:p>
    <w:p>
      <w:pPr>
        <w:adjustRightInd w:val="0"/>
        <w:snapToGrid w:val="0"/>
        <w:spacing w:line="560" w:lineRule="exact"/>
        <w:jc w:val="center"/>
        <w:rPr>
          <w:rFonts w:eastAsia="仿宋_GB2312"/>
          <w:bCs/>
          <w:color w:val="auto"/>
          <w:sz w:val="32"/>
          <w:szCs w:val="32"/>
          <w:highlight w:val="none"/>
          <w:u w:val="single"/>
        </w:rPr>
      </w:pPr>
      <w:r>
        <w:rPr>
          <w:rFonts w:hint="eastAsia" w:eastAsia="仿宋_GB2312"/>
          <w:bCs/>
          <w:color w:val="auto"/>
          <w:sz w:val="32"/>
          <w:szCs w:val="32"/>
          <w:highlight w:val="none"/>
        </w:rPr>
        <w:t>合同编号：</w:t>
      </w:r>
      <w:r>
        <w:rPr>
          <w:rFonts w:hint="eastAsia" w:eastAsia="仿宋_GB2312"/>
          <w:bCs/>
          <w:color w:val="auto"/>
          <w:sz w:val="32"/>
          <w:szCs w:val="32"/>
          <w:highlight w:val="none"/>
          <w:u w:val="single"/>
        </w:rPr>
        <w:t>（</w:t>
      </w:r>
      <w:r>
        <w:rPr>
          <w:rFonts w:hint="eastAsia" w:eastAsia="仿宋_GB2312"/>
          <w:bCs/>
          <w:color w:val="auto"/>
          <w:sz w:val="32"/>
          <w:szCs w:val="32"/>
          <w:highlight w:val="none"/>
          <w:u w:val="single"/>
          <w:lang w:val="en-US" w:eastAsia="zh-CN"/>
        </w:rPr>
        <w:t xml:space="preserve"> </w:t>
      </w:r>
      <w:r>
        <w:rPr>
          <w:rFonts w:hint="eastAsia" w:eastAsia="仿宋_GB2312"/>
          <w:bCs/>
          <w:color w:val="auto"/>
          <w:sz w:val="32"/>
          <w:szCs w:val="32"/>
          <w:highlight w:val="none"/>
          <w:u w:val="single"/>
        </w:rPr>
        <w:t>）</w:t>
      </w:r>
    </w:p>
    <w:p>
      <w:pPr>
        <w:adjustRightInd w:val="0"/>
        <w:snapToGrid w:val="0"/>
        <w:spacing w:line="560" w:lineRule="exact"/>
        <w:jc w:val="center"/>
        <w:rPr>
          <w:rFonts w:eastAsia="华文中宋"/>
          <w:b/>
          <w:color w:val="auto"/>
          <w:sz w:val="52"/>
          <w:szCs w:val="52"/>
          <w:highlight w:val="none"/>
        </w:rPr>
      </w:pPr>
    </w:p>
    <w:p>
      <w:pPr>
        <w:adjustRightInd w:val="0"/>
        <w:snapToGrid w:val="0"/>
        <w:jc w:val="center"/>
        <w:rPr>
          <w:rFonts w:eastAsia="华文中宋"/>
          <w:b/>
          <w:color w:val="auto"/>
          <w:sz w:val="52"/>
          <w:szCs w:val="52"/>
          <w:highlight w:val="none"/>
        </w:rPr>
      </w:pPr>
      <w:r>
        <w:rPr>
          <w:rFonts w:hint="eastAsia" w:ascii="宋体" w:hAnsi="宋体" w:cs="宋体"/>
          <w:b/>
          <w:color w:val="auto"/>
          <w:sz w:val="72"/>
          <w:szCs w:val="52"/>
          <w:highlight w:val="none"/>
        </w:rPr>
        <w:t>施工合同</w:t>
      </w:r>
      <w:r>
        <w:rPr>
          <w:rFonts w:eastAsia="华文中宋"/>
          <w:b/>
          <w:color w:val="auto"/>
          <w:sz w:val="52"/>
          <w:szCs w:val="52"/>
          <w:highlight w:val="none"/>
        </w:rPr>
        <w:br w:type="textWrapping"/>
      </w:r>
      <w:bookmarkStart w:id="873" w:name="_Toc60061567"/>
    </w:p>
    <w:p>
      <w:pPr>
        <w:adjustRightInd w:val="0"/>
        <w:snapToGrid w:val="0"/>
        <w:spacing w:line="560" w:lineRule="exact"/>
        <w:jc w:val="center"/>
        <w:rPr>
          <w:rFonts w:eastAsia="华文中宋"/>
          <w:b/>
          <w:color w:val="auto"/>
          <w:sz w:val="52"/>
          <w:szCs w:val="52"/>
          <w:highlight w:val="none"/>
        </w:rPr>
      </w:pPr>
    </w:p>
    <w:p>
      <w:pPr>
        <w:adjustRightInd w:val="0"/>
        <w:snapToGrid w:val="0"/>
        <w:spacing w:line="560" w:lineRule="exact"/>
        <w:jc w:val="center"/>
        <w:rPr>
          <w:rFonts w:eastAsia="黑体"/>
          <w:b/>
          <w:color w:val="auto"/>
          <w:sz w:val="72"/>
          <w:szCs w:val="72"/>
          <w:highlight w:val="none"/>
        </w:rPr>
      </w:pPr>
    </w:p>
    <w:p>
      <w:pPr>
        <w:adjustRightInd w:val="0"/>
        <w:snapToGrid w:val="0"/>
        <w:spacing w:line="560" w:lineRule="exact"/>
        <w:jc w:val="center"/>
        <w:rPr>
          <w:rFonts w:hint="eastAsia" w:ascii="宋体" w:hAnsi="宋体" w:cs="宋体"/>
          <w:b/>
          <w:color w:val="auto"/>
          <w:sz w:val="54"/>
          <w:szCs w:val="72"/>
          <w:highlight w:val="none"/>
        </w:rPr>
      </w:pPr>
    </w:p>
    <w:p>
      <w:pPr>
        <w:pStyle w:val="2"/>
        <w:rPr>
          <w:color w:val="auto"/>
          <w:highlight w:val="none"/>
        </w:rPr>
      </w:pPr>
    </w:p>
    <w:p>
      <w:pPr>
        <w:adjustRightInd w:val="0"/>
        <w:snapToGrid w:val="0"/>
        <w:spacing w:line="560" w:lineRule="exact"/>
        <w:jc w:val="center"/>
        <w:rPr>
          <w:rFonts w:eastAsia="黑体"/>
          <w:b/>
          <w:color w:val="auto"/>
          <w:sz w:val="52"/>
          <w:szCs w:val="52"/>
          <w:highlight w:val="none"/>
        </w:rPr>
      </w:pPr>
    </w:p>
    <w:p>
      <w:pPr>
        <w:adjustRightInd w:val="0"/>
        <w:snapToGrid w:val="0"/>
        <w:spacing w:line="560" w:lineRule="exact"/>
        <w:rPr>
          <w:b/>
          <w:color w:val="auto"/>
          <w:sz w:val="28"/>
          <w:szCs w:val="28"/>
          <w:highlight w:val="none"/>
        </w:rPr>
      </w:pPr>
    </w:p>
    <w:p>
      <w:pPr>
        <w:adjustRightInd w:val="0"/>
        <w:snapToGrid w:val="0"/>
        <w:spacing w:line="560" w:lineRule="exact"/>
        <w:rPr>
          <w:b/>
          <w:color w:val="auto"/>
          <w:sz w:val="28"/>
          <w:szCs w:val="28"/>
          <w:highlight w:val="none"/>
        </w:rPr>
      </w:pPr>
    </w:p>
    <w:p>
      <w:pPr>
        <w:pStyle w:val="2"/>
        <w:rPr>
          <w:b/>
          <w:color w:val="auto"/>
          <w:sz w:val="28"/>
          <w:szCs w:val="28"/>
          <w:highlight w:val="none"/>
        </w:rPr>
      </w:pPr>
    </w:p>
    <w:p>
      <w:pPr>
        <w:rPr>
          <w:b/>
          <w:color w:val="auto"/>
          <w:sz w:val="28"/>
          <w:szCs w:val="28"/>
          <w:highlight w:val="none"/>
        </w:rPr>
      </w:pPr>
    </w:p>
    <w:p>
      <w:pPr>
        <w:pStyle w:val="2"/>
        <w:rPr>
          <w:b/>
          <w:color w:val="auto"/>
          <w:sz w:val="28"/>
          <w:szCs w:val="28"/>
          <w:highlight w:val="none"/>
        </w:rPr>
      </w:pPr>
    </w:p>
    <w:p>
      <w:pPr>
        <w:rPr>
          <w:b/>
          <w:color w:val="auto"/>
          <w:sz w:val="28"/>
          <w:szCs w:val="28"/>
          <w:highlight w:val="none"/>
        </w:rPr>
      </w:pPr>
    </w:p>
    <w:p>
      <w:pPr>
        <w:pStyle w:val="2"/>
        <w:jc w:val="center"/>
        <w:rPr>
          <w:color w:val="auto"/>
          <w:highlight w:val="none"/>
        </w:rPr>
      </w:pPr>
    </w:p>
    <w:p>
      <w:pPr>
        <w:spacing w:line="360" w:lineRule="auto"/>
        <w:jc w:val="center"/>
        <w:rPr>
          <w:rFonts w:hint="default" w:ascii="宋体" w:hAnsi="宋体" w:eastAsia="宋体" w:cs="宋体"/>
          <w:b/>
          <w:color w:val="auto"/>
          <w:sz w:val="24"/>
          <w:highlight w:val="none"/>
          <w:u w:val="single"/>
          <w:lang w:val="en-US" w:eastAsia="zh-CN"/>
        </w:rPr>
      </w:pPr>
      <w:r>
        <w:rPr>
          <w:rFonts w:hint="eastAsia" w:ascii="宋体" w:hAnsi="宋体" w:cs="宋体"/>
          <w:b/>
          <w:color w:val="auto"/>
          <w:sz w:val="24"/>
          <w:highlight w:val="none"/>
          <w:u w:val="none"/>
          <w:lang w:val="en-US" w:eastAsia="zh-CN"/>
        </w:rPr>
        <w:t>发  包  人</w:t>
      </w:r>
      <w:r>
        <w:rPr>
          <w:rFonts w:hint="eastAsia" w:ascii="宋体" w:hAnsi="宋体" w:cs="宋体"/>
          <w:b/>
          <w:color w:val="auto"/>
          <w:sz w:val="24"/>
          <w:highlight w:val="none"/>
          <w:u w:val="none"/>
        </w:rPr>
        <w:t>（全称）：</w:t>
      </w:r>
      <w:r>
        <w:rPr>
          <w:rFonts w:hint="eastAsia" w:ascii="宋体" w:hAnsi="宋体" w:cs="宋体"/>
          <w:b/>
          <w:color w:val="auto"/>
          <w:sz w:val="24"/>
          <w:highlight w:val="none"/>
          <w:u w:val="single"/>
          <w:lang w:val="en-US" w:eastAsia="zh-CN"/>
        </w:rPr>
        <w:t xml:space="preserve"> 滁州市皖能兴滁环境科技有限公司 </w:t>
      </w:r>
    </w:p>
    <w:p>
      <w:pPr>
        <w:jc w:val="both"/>
        <w:rPr>
          <w:rFonts w:hint="eastAsia" w:ascii="宋体" w:hAnsi="宋体" w:cs="宋体"/>
          <w:b/>
          <w:color w:val="auto"/>
          <w:sz w:val="24"/>
          <w:highlight w:val="none"/>
          <w:u w:val="single"/>
        </w:rPr>
      </w:pPr>
      <w:r>
        <w:rPr>
          <w:rFonts w:hint="eastAsia" w:ascii="宋体" w:hAnsi="宋体" w:cs="宋体"/>
          <w:b/>
          <w:color w:val="auto"/>
          <w:sz w:val="24"/>
          <w:highlight w:val="none"/>
          <w:u w:val="none"/>
          <w:lang w:val="en-US" w:eastAsia="zh-CN"/>
        </w:rPr>
        <w:t xml:space="preserve">           </w:t>
      </w:r>
      <w:r>
        <w:rPr>
          <w:rFonts w:hint="eastAsia" w:ascii="宋体" w:hAnsi="宋体" w:cs="宋体"/>
          <w:b/>
          <w:color w:val="auto"/>
          <w:sz w:val="24"/>
          <w:highlight w:val="none"/>
          <w:u w:val="none"/>
        </w:rPr>
        <w:t>承</w:t>
      </w:r>
      <w:r>
        <w:rPr>
          <w:rFonts w:hint="eastAsia" w:ascii="宋体" w:hAnsi="宋体" w:cs="宋体"/>
          <w:b/>
          <w:color w:val="auto"/>
          <w:sz w:val="24"/>
          <w:highlight w:val="none"/>
          <w:u w:val="none"/>
          <w:lang w:val="en-US" w:eastAsia="zh-CN"/>
        </w:rPr>
        <w:t xml:space="preserve">  </w:t>
      </w:r>
      <w:r>
        <w:rPr>
          <w:rFonts w:hint="eastAsia" w:ascii="宋体" w:hAnsi="宋体" w:cs="宋体"/>
          <w:b/>
          <w:color w:val="auto"/>
          <w:sz w:val="24"/>
          <w:highlight w:val="none"/>
          <w:u w:val="none"/>
        </w:rPr>
        <w:t>包</w:t>
      </w:r>
      <w:r>
        <w:rPr>
          <w:rFonts w:hint="eastAsia" w:ascii="宋体" w:hAnsi="宋体" w:cs="宋体"/>
          <w:b/>
          <w:color w:val="auto"/>
          <w:sz w:val="24"/>
          <w:highlight w:val="none"/>
          <w:u w:val="none"/>
          <w:lang w:val="en-US" w:eastAsia="zh-CN"/>
        </w:rPr>
        <w:t xml:space="preserve">  </w:t>
      </w:r>
      <w:r>
        <w:rPr>
          <w:rFonts w:hint="eastAsia" w:ascii="宋体" w:hAnsi="宋体" w:cs="宋体"/>
          <w:b/>
          <w:color w:val="auto"/>
          <w:sz w:val="24"/>
          <w:highlight w:val="none"/>
          <w:u w:val="none"/>
        </w:rPr>
        <w:t>人（全称）：</w:t>
      </w:r>
      <w:r>
        <w:rPr>
          <w:rFonts w:hint="eastAsia" w:ascii="宋体" w:hAnsi="宋体" w:cs="宋体"/>
          <w:b/>
          <w:color w:val="auto"/>
          <w:sz w:val="24"/>
          <w:highlight w:val="none"/>
          <w:u w:val="single"/>
        </w:rPr>
        <w:t xml:space="preserve">                  </w:t>
      </w:r>
    </w:p>
    <w:p>
      <w:pPr>
        <w:pStyle w:val="2"/>
        <w:rPr>
          <w:rFonts w:hint="eastAsia"/>
          <w:color w:val="auto"/>
          <w:highlight w:val="none"/>
        </w:rPr>
      </w:pPr>
    </w:p>
    <w:p>
      <w:pPr>
        <w:jc w:val="center"/>
        <w:rPr>
          <w:rFonts w:hint="default" w:eastAsia="宋体"/>
          <w:b/>
          <w:color w:val="auto"/>
          <w:sz w:val="28"/>
          <w:szCs w:val="28"/>
          <w:highlight w:val="none"/>
          <w:lang w:val="en-US" w:eastAsia="zh-CN"/>
        </w:rPr>
      </w:pPr>
      <w:r>
        <w:rPr>
          <w:rFonts w:hint="eastAsia"/>
          <w:b/>
          <w:color w:val="auto"/>
          <w:sz w:val="28"/>
          <w:szCs w:val="28"/>
          <w:highlight w:val="none"/>
          <w:lang w:val="en-US" w:eastAsia="zh-CN"/>
        </w:rPr>
        <w:t>2024年  月  日</w:t>
      </w:r>
    </w:p>
    <w:p>
      <w:pPr>
        <w:pStyle w:val="2"/>
        <w:rPr>
          <w:b/>
          <w:color w:val="auto"/>
          <w:sz w:val="28"/>
          <w:szCs w:val="28"/>
          <w:highlight w:val="none"/>
        </w:rPr>
      </w:pPr>
    </w:p>
    <w:p>
      <w:pPr>
        <w:rPr>
          <w:b/>
          <w:color w:val="auto"/>
          <w:sz w:val="28"/>
          <w:szCs w:val="28"/>
          <w:highlight w:val="none"/>
        </w:rPr>
      </w:pPr>
    </w:p>
    <w:p>
      <w:pPr>
        <w:pStyle w:val="2"/>
        <w:rPr>
          <w:color w:val="auto"/>
          <w:highlight w:val="none"/>
        </w:rPr>
      </w:pPr>
    </w:p>
    <w:p>
      <w:pPr>
        <w:pStyle w:val="2"/>
        <w:rPr>
          <w:color w:val="auto"/>
          <w:highlight w:val="none"/>
        </w:rPr>
      </w:pPr>
    </w:p>
    <w:p>
      <w:pPr>
        <w:adjustRightInd w:val="0"/>
        <w:snapToGrid w:val="0"/>
        <w:spacing w:line="560" w:lineRule="exact"/>
        <w:rPr>
          <w:b/>
          <w:color w:val="auto"/>
          <w:sz w:val="28"/>
          <w:szCs w:val="28"/>
          <w:highlight w:val="none"/>
        </w:rPr>
      </w:pPr>
    </w:p>
    <w:bookmarkEnd w:id="873"/>
    <w:p>
      <w:pPr>
        <w:rPr>
          <w:rFonts w:hint="eastAsia"/>
          <w:color w:val="auto"/>
          <w:highlight w:val="none"/>
        </w:rPr>
      </w:pPr>
      <w:r>
        <w:rPr>
          <w:rFonts w:hint="eastAsia"/>
          <w:color w:val="auto"/>
          <w:highlight w:val="none"/>
        </w:rPr>
        <w:br w:type="page"/>
      </w:r>
    </w:p>
    <w:p>
      <w:pPr>
        <w:keepNext/>
        <w:keepLines/>
        <w:spacing w:line="360" w:lineRule="auto"/>
        <w:jc w:val="center"/>
        <w:outlineLvl w:val="1"/>
        <w:rPr>
          <w:rFonts w:hint="eastAsia" w:ascii="宋体" w:hAnsi="宋体" w:cs="宋体"/>
          <w:b/>
          <w:bCs/>
          <w:color w:val="auto"/>
          <w:sz w:val="32"/>
          <w:szCs w:val="32"/>
          <w:highlight w:val="none"/>
        </w:rPr>
      </w:pPr>
      <w:bookmarkStart w:id="874" w:name="_Toc3977"/>
      <w:bookmarkStart w:id="875" w:name="_Toc95223459"/>
      <w:bookmarkStart w:id="876" w:name="_Toc28799376"/>
      <w:bookmarkStart w:id="877" w:name="_Toc29801"/>
      <w:bookmarkStart w:id="878" w:name="_Toc2308"/>
      <w:r>
        <w:rPr>
          <w:rFonts w:hint="eastAsia" w:ascii="宋体" w:hAnsi="宋体" w:cs="宋体"/>
          <w:b/>
          <w:bCs/>
          <w:color w:val="auto"/>
          <w:sz w:val="32"/>
          <w:szCs w:val="32"/>
          <w:highlight w:val="none"/>
        </w:rPr>
        <w:t>第一节  合同协议书</w:t>
      </w:r>
      <w:bookmarkEnd w:id="874"/>
      <w:bookmarkEnd w:id="875"/>
      <w:bookmarkEnd w:id="876"/>
    </w:p>
    <w:p>
      <w:pPr>
        <w:spacing w:line="360" w:lineRule="auto"/>
        <w:rPr>
          <w:rFonts w:hint="default" w:ascii="宋体" w:hAnsi="宋体" w:eastAsia="宋体" w:cs="宋体"/>
          <w:b/>
          <w:color w:val="auto"/>
          <w:sz w:val="24"/>
          <w:highlight w:val="none"/>
          <w:u w:val="single"/>
          <w:lang w:val="en-US" w:eastAsia="zh-CN"/>
        </w:rPr>
      </w:pPr>
      <w:r>
        <w:rPr>
          <w:rFonts w:hint="eastAsia" w:ascii="宋体" w:hAnsi="宋体" w:cs="宋体"/>
          <w:b/>
          <w:color w:val="auto"/>
          <w:sz w:val="24"/>
          <w:highlight w:val="none"/>
          <w:u w:val="single"/>
        </w:rPr>
        <w:t xml:space="preserve">发包人（全称）：滁州市皖能兴滁环境科技有限公司 </w:t>
      </w:r>
    </w:p>
    <w:p>
      <w:pPr>
        <w:spacing w:line="360" w:lineRule="auto"/>
        <w:rPr>
          <w:rFonts w:hint="eastAsia" w:ascii="宋体" w:hAnsi="宋体" w:cs="宋体"/>
          <w:b/>
          <w:color w:val="auto"/>
          <w:sz w:val="30"/>
          <w:szCs w:val="30"/>
          <w:highlight w:val="none"/>
          <w:u w:val="single"/>
        </w:rPr>
      </w:pPr>
      <w:r>
        <w:rPr>
          <w:rFonts w:hint="eastAsia" w:ascii="宋体" w:hAnsi="宋体" w:cs="宋体"/>
          <w:b/>
          <w:color w:val="auto"/>
          <w:sz w:val="24"/>
          <w:highlight w:val="none"/>
          <w:u w:val="single"/>
        </w:rPr>
        <w:t xml:space="preserve">承包人（全称）：      </w:t>
      </w:r>
      <w:r>
        <w:rPr>
          <w:rFonts w:hint="eastAsia" w:ascii="宋体" w:hAnsi="宋体" w:cs="宋体"/>
          <w:b/>
          <w:color w:val="auto"/>
          <w:sz w:val="24"/>
          <w:highlight w:val="none"/>
          <w:u w:val="single"/>
          <w:lang w:val="en-US" w:eastAsia="zh-CN"/>
        </w:rPr>
        <w:t xml:space="preserve">    </w:t>
      </w:r>
      <w:r>
        <w:rPr>
          <w:rFonts w:hint="eastAsia" w:ascii="宋体" w:hAnsi="宋体" w:cs="宋体"/>
          <w:b/>
          <w:color w:val="auto"/>
          <w:sz w:val="24"/>
          <w:highlight w:val="none"/>
          <w:u w:val="single"/>
        </w:rPr>
        <w:t xml:space="preserve">         </w:t>
      </w:r>
    </w:p>
    <w:p>
      <w:pPr>
        <w:spacing w:line="360" w:lineRule="auto"/>
        <w:ind w:firstLine="420" w:firstLineChars="200"/>
        <w:rPr>
          <w:rFonts w:hint="eastAsia" w:ascii="宋体" w:hAnsi="宋体" w:cs="宋体"/>
          <w:color w:val="auto"/>
          <w:szCs w:val="21"/>
          <w:highlight w:val="none"/>
          <w:u w:val="single"/>
        </w:rPr>
      </w:pPr>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根据《中华人民共和国民法典》《中华人民共和国建筑法》及有关法律规定，遵循平等、自愿、公平和诚实信用的原则，双方就</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工程施工及</w:t>
      </w:r>
      <w:r>
        <w:rPr>
          <w:rFonts w:hint="eastAsia" w:ascii="宋体" w:hAnsi="宋体" w:cs="宋体"/>
          <w:color w:val="auto"/>
          <w:szCs w:val="21"/>
          <w:highlight w:val="none"/>
          <w:u w:val="single"/>
        </w:rPr>
        <w:t>有关事项协商一致，共同达成如下协议：</w:t>
      </w:r>
      <w:bookmarkStart w:id="879" w:name="_Toc351203481"/>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color w:val="auto"/>
          <w:szCs w:val="21"/>
          <w:highlight w:val="none"/>
          <w:u w:val="single"/>
        </w:rPr>
      </w:pPr>
      <w:r>
        <w:rPr>
          <w:rFonts w:hint="eastAsia" w:ascii="宋体" w:hAnsi="宋体" w:cs="宋体"/>
          <w:b/>
          <w:color w:val="auto"/>
          <w:szCs w:val="21"/>
          <w:highlight w:val="none"/>
          <w:u w:val="single"/>
        </w:rPr>
        <w:t>一、工程概况</w:t>
      </w:r>
      <w:bookmarkEnd w:id="879"/>
    </w:p>
    <w:p>
      <w:pPr>
        <w:keepNext w:val="0"/>
        <w:keepLines w:val="0"/>
        <w:pageBreakBefore w:val="0"/>
        <w:widowControl w:val="0"/>
        <w:kinsoku/>
        <w:wordWrap/>
        <w:overflowPunct/>
        <w:topLinePunct w:val="0"/>
        <w:bidi w:val="0"/>
        <w:snapToGrid/>
        <w:spacing w:line="480" w:lineRule="exact"/>
        <w:ind w:firstLine="411" w:firstLineChars="196"/>
        <w:textAlignment w:val="auto"/>
        <w:rPr>
          <w:rFonts w:hint="eastAsia" w:ascii="宋体" w:hAnsi="宋体" w:cs="宋体"/>
          <w:color w:val="auto"/>
          <w:szCs w:val="21"/>
          <w:highlight w:val="none"/>
          <w:u w:val="single"/>
        </w:rPr>
      </w:pPr>
      <w:r>
        <w:rPr>
          <w:rFonts w:hint="eastAsia" w:ascii="宋体" w:hAnsi="宋体" w:cs="宋体"/>
          <w:bCs/>
          <w:color w:val="auto"/>
          <w:szCs w:val="21"/>
          <w:highlight w:val="none"/>
          <w:u w:val="single"/>
        </w:rPr>
        <w:t>1. 工程名称</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w:t>
      </w:r>
    </w:p>
    <w:p>
      <w:pPr>
        <w:keepNext w:val="0"/>
        <w:keepLines w:val="0"/>
        <w:pageBreakBefore w:val="0"/>
        <w:widowControl w:val="0"/>
        <w:kinsoku/>
        <w:wordWrap/>
        <w:overflowPunct/>
        <w:topLinePunct w:val="0"/>
        <w:bidi w:val="0"/>
        <w:snapToGrid/>
        <w:spacing w:line="480" w:lineRule="exact"/>
        <w:ind w:firstLine="411" w:firstLineChars="196"/>
        <w:textAlignment w:val="auto"/>
        <w:rPr>
          <w:rFonts w:hint="eastAsia" w:ascii="宋体" w:hAnsi="宋体" w:cs="宋体"/>
          <w:bCs/>
          <w:color w:val="auto"/>
          <w:szCs w:val="21"/>
          <w:highlight w:val="none"/>
          <w:u w:val="none"/>
        </w:rPr>
      </w:pPr>
      <w:r>
        <w:rPr>
          <w:rFonts w:hint="eastAsia" w:ascii="宋体" w:hAnsi="宋体" w:cs="宋体"/>
          <w:bCs/>
          <w:color w:val="auto"/>
          <w:szCs w:val="21"/>
          <w:highlight w:val="none"/>
          <w:u w:val="single"/>
        </w:rPr>
        <w:t>2. 工程地点：</w:t>
      </w:r>
      <w:r>
        <w:rPr>
          <w:rFonts w:hint="eastAsia"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w:t>
      </w:r>
    </w:p>
    <w:p>
      <w:pPr>
        <w:keepNext w:val="0"/>
        <w:keepLines w:val="0"/>
        <w:pageBreakBefore w:val="0"/>
        <w:widowControl w:val="0"/>
        <w:kinsoku/>
        <w:wordWrap/>
        <w:overflowPunct/>
        <w:topLinePunct w:val="0"/>
        <w:bidi w:val="0"/>
        <w:snapToGrid/>
        <w:spacing w:line="480" w:lineRule="exact"/>
        <w:ind w:firstLine="411" w:firstLineChars="196"/>
        <w:textAlignment w:val="auto"/>
        <w:rPr>
          <w:rFonts w:hint="eastAsia" w:ascii="宋体" w:hAnsi="宋体" w:cs="宋体"/>
          <w:bCs/>
          <w:color w:val="auto"/>
          <w:szCs w:val="21"/>
          <w:highlight w:val="none"/>
          <w:u w:val="single"/>
        </w:rPr>
      </w:pPr>
      <w:r>
        <w:rPr>
          <w:rFonts w:hint="eastAsia" w:ascii="宋体" w:hAnsi="宋体" w:cs="宋体"/>
          <w:bCs/>
          <w:color w:val="auto"/>
          <w:szCs w:val="21"/>
          <w:highlight w:val="none"/>
          <w:u w:val="single"/>
        </w:rPr>
        <w:t xml:space="preserve">3.资金来源：      </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u w:val="single"/>
        </w:rPr>
        <w:t xml:space="preserve">  </w:t>
      </w:r>
      <w:r>
        <w:rPr>
          <w:rFonts w:hint="eastAsia" w:ascii="宋体" w:hAnsi="宋体" w:cs="宋体"/>
          <w:bCs/>
          <w:color w:val="auto"/>
          <w:szCs w:val="21"/>
          <w:highlight w:val="none"/>
          <w:u w:val="single"/>
        </w:rPr>
        <w:t>。</w:t>
      </w:r>
    </w:p>
    <w:p>
      <w:pPr>
        <w:keepNext w:val="0"/>
        <w:keepLines w:val="0"/>
        <w:pageBreakBefore w:val="0"/>
        <w:widowControl w:val="0"/>
        <w:kinsoku/>
        <w:wordWrap/>
        <w:overflowPunct/>
        <w:topLinePunct w:val="0"/>
        <w:bidi w:val="0"/>
        <w:snapToGrid/>
        <w:spacing w:line="480" w:lineRule="exact"/>
        <w:ind w:firstLine="411" w:firstLineChars="196"/>
        <w:textAlignment w:val="auto"/>
        <w:rPr>
          <w:rFonts w:hint="eastAsia" w:ascii="宋体" w:hAnsi="宋体" w:cs="宋体"/>
          <w:bCs/>
          <w:color w:val="auto"/>
          <w:szCs w:val="21"/>
          <w:highlight w:val="none"/>
          <w:u w:val="single"/>
        </w:rPr>
      </w:pPr>
      <w:r>
        <w:rPr>
          <w:rFonts w:hint="eastAsia" w:ascii="宋体" w:hAnsi="宋体" w:cs="宋体"/>
          <w:bCs/>
          <w:color w:val="auto"/>
          <w:szCs w:val="21"/>
          <w:highlight w:val="none"/>
          <w:u w:val="single"/>
          <w:lang w:val="en-US" w:eastAsia="zh-CN"/>
        </w:rPr>
        <w:t>4</w:t>
      </w:r>
      <w:r>
        <w:rPr>
          <w:rFonts w:hint="eastAsia" w:ascii="宋体" w:hAnsi="宋体" w:cs="宋体"/>
          <w:bCs/>
          <w:color w:val="auto"/>
          <w:szCs w:val="21"/>
          <w:highlight w:val="none"/>
          <w:u w:val="single"/>
        </w:rPr>
        <w:t>. 工程内容：</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u w:val="single"/>
        </w:rPr>
        <w:t>。</w:t>
      </w:r>
    </w:p>
    <w:p>
      <w:pPr>
        <w:keepNext w:val="0"/>
        <w:keepLines w:val="0"/>
        <w:pageBreakBefore w:val="0"/>
        <w:widowControl w:val="0"/>
        <w:kinsoku/>
        <w:wordWrap/>
        <w:overflowPunct/>
        <w:topLinePunct w:val="0"/>
        <w:bidi w:val="0"/>
        <w:snapToGrid/>
        <w:spacing w:line="480" w:lineRule="exact"/>
        <w:ind w:firstLine="411" w:firstLineChars="196"/>
        <w:textAlignment w:val="auto"/>
        <w:rPr>
          <w:rFonts w:hint="default" w:ascii="宋体" w:hAnsi="宋体" w:cs="宋体"/>
          <w:color w:val="auto"/>
          <w:szCs w:val="21"/>
          <w:highlight w:val="none"/>
          <w:u w:val="single"/>
          <w:lang w:val="en-US"/>
        </w:rPr>
      </w:pP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工程承包范围：</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w:t>
      </w:r>
      <w:r>
        <w:rPr>
          <w:rFonts w:hint="eastAsia" w:ascii="宋体" w:hAnsi="宋体" w:cs="宋体"/>
          <w:color w:val="auto"/>
          <w:kern w:val="2"/>
          <w:sz w:val="21"/>
          <w:szCs w:val="21"/>
          <w:highlight w:val="none"/>
          <w:u w:val="single"/>
          <w:lang w:val="en-US" w:eastAsia="zh-CN" w:bidi="ar-SA"/>
        </w:rPr>
        <w:t xml:space="preserve"> </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u w:val="single"/>
        </w:rPr>
      </w:pPr>
      <w:bookmarkStart w:id="880" w:name="_Toc351203482"/>
      <w:r>
        <w:rPr>
          <w:rFonts w:hint="eastAsia" w:ascii="宋体" w:hAnsi="宋体" w:cs="宋体"/>
          <w:b/>
          <w:color w:val="auto"/>
          <w:szCs w:val="21"/>
          <w:highlight w:val="none"/>
          <w:u w:val="single"/>
        </w:rPr>
        <w:t>二、合同工期</w:t>
      </w:r>
      <w:bookmarkEnd w:id="880"/>
    </w:p>
    <w:p>
      <w:pPr>
        <w:keepNext w:val="0"/>
        <w:keepLines w:val="0"/>
        <w:pageBreakBefore w:val="0"/>
        <w:widowControl w:val="0"/>
        <w:kinsoku/>
        <w:wordWrap/>
        <w:overflowPunct/>
        <w:topLinePunct w:val="0"/>
        <w:bidi w:val="0"/>
        <w:snapToGrid/>
        <w:spacing w:line="480" w:lineRule="exact"/>
        <w:ind w:firstLine="459"/>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计划开工日期：          年      月      日。</w:t>
      </w:r>
    </w:p>
    <w:p>
      <w:pPr>
        <w:keepNext w:val="0"/>
        <w:keepLines w:val="0"/>
        <w:pageBreakBefore w:val="0"/>
        <w:widowControl w:val="0"/>
        <w:kinsoku/>
        <w:wordWrap/>
        <w:overflowPunct/>
        <w:topLinePunct w:val="0"/>
        <w:bidi w:val="0"/>
        <w:snapToGrid/>
        <w:spacing w:line="480" w:lineRule="exact"/>
        <w:ind w:firstLine="459"/>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计划竣工日期：          年      月      日。</w:t>
      </w:r>
    </w:p>
    <w:p>
      <w:pPr>
        <w:keepNext w:val="0"/>
        <w:keepLines w:val="0"/>
        <w:pageBreakBefore w:val="0"/>
        <w:widowControl w:val="0"/>
        <w:kinsoku/>
        <w:wordWrap/>
        <w:overflowPunct/>
        <w:topLinePunct w:val="0"/>
        <w:bidi w:val="0"/>
        <w:snapToGrid/>
        <w:spacing w:line="480" w:lineRule="exact"/>
        <w:ind w:firstLine="459"/>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工期总日历天数：       天。工期总日历天数与根据前述计划开竣工日期计算的工期天数不一致的，以工期总日历天数为准。</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u w:val="single"/>
        </w:rPr>
      </w:pPr>
      <w:bookmarkStart w:id="881" w:name="_Toc351203483"/>
      <w:r>
        <w:rPr>
          <w:rFonts w:hint="eastAsia" w:ascii="宋体" w:hAnsi="宋体" w:cs="宋体"/>
          <w:b/>
          <w:color w:val="auto"/>
          <w:szCs w:val="21"/>
          <w:highlight w:val="none"/>
          <w:u w:val="single"/>
        </w:rPr>
        <w:t>三、质量标准</w:t>
      </w:r>
      <w:bookmarkEnd w:id="881"/>
    </w:p>
    <w:p>
      <w:pPr>
        <w:keepNext w:val="0"/>
        <w:keepLines w:val="0"/>
        <w:pageBreakBefore w:val="0"/>
        <w:widowControl w:val="0"/>
        <w:kinsoku/>
        <w:wordWrap/>
        <w:overflowPunct/>
        <w:topLinePunct w:val="0"/>
        <w:bidi w:val="0"/>
        <w:snapToGrid/>
        <w:spacing w:line="480" w:lineRule="exact"/>
        <w:ind w:firstLine="459"/>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工程质量符合</w:t>
      </w:r>
      <w:r>
        <w:rPr>
          <w:rFonts w:hint="eastAsia" w:ascii="宋体" w:hAnsi="宋体" w:cs="宋体"/>
          <w:color w:val="auto"/>
          <w:szCs w:val="21"/>
          <w:highlight w:val="none"/>
          <w:u w:val="single"/>
          <w:lang w:val="en-US" w:eastAsia="zh-CN"/>
        </w:rPr>
        <w:t>国家相关法律法规规定的</w:t>
      </w:r>
      <w:r>
        <w:rPr>
          <w:rFonts w:hint="eastAsia" w:ascii="宋体" w:hAnsi="宋体" w:cs="宋体"/>
          <w:color w:val="auto"/>
          <w:szCs w:val="21"/>
          <w:highlight w:val="none"/>
          <w:u w:val="single"/>
        </w:rPr>
        <w:t>标准。</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u w:val="single"/>
        </w:rPr>
      </w:pPr>
      <w:bookmarkStart w:id="882" w:name="_Toc351203484"/>
      <w:r>
        <w:rPr>
          <w:rFonts w:hint="eastAsia" w:ascii="宋体" w:hAnsi="宋体" w:cs="宋体"/>
          <w:b/>
          <w:color w:val="auto"/>
          <w:szCs w:val="21"/>
          <w:highlight w:val="none"/>
          <w:u w:val="single"/>
        </w:rPr>
        <w:t>四、签约合同价与合同价格形式</w:t>
      </w:r>
      <w:bookmarkEnd w:id="882"/>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1. 签约合同价为：</w:t>
      </w:r>
    </w:p>
    <w:p>
      <w:pPr>
        <w:keepNext w:val="0"/>
        <w:keepLines w:val="0"/>
        <w:pageBreakBefore w:val="0"/>
        <w:widowControl w:val="0"/>
        <w:kinsoku/>
        <w:wordWrap/>
        <w:overflowPunct/>
        <w:topLinePunct w:val="0"/>
        <w:bidi w:val="0"/>
        <w:snapToGrid/>
        <w:spacing w:line="480" w:lineRule="exact"/>
        <w:ind w:firstLine="525" w:firstLineChars="25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人民币（大写）                 (¥            元)；</w:t>
      </w:r>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 合同价格形式：</w:t>
      </w:r>
      <w:r>
        <w:rPr>
          <w:rFonts w:hint="eastAsia" w:ascii="宋体" w:hAnsi="宋体" w:cs="宋体"/>
          <w:color w:val="auto"/>
          <w:szCs w:val="21"/>
          <w:highlight w:val="none"/>
          <w:u w:val="single"/>
          <w:lang w:val="en-US" w:eastAsia="zh-CN"/>
        </w:rPr>
        <w:t>固定单价。</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rPr>
      </w:pPr>
      <w:bookmarkStart w:id="883" w:name="_Toc351203485"/>
      <w:r>
        <w:rPr>
          <w:rFonts w:hint="eastAsia" w:ascii="宋体" w:hAnsi="宋体" w:cs="宋体"/>
          <w:b/>
          <w:color w:val="auto"/>
          <w:szCs w:val="21"/>
          <w:highlight w:val="none"/>
        </w:rPr>
        <w:t>五、</w:t>
      </w:r>
      <w:bookmarkEnd w:id="883"/>
      <w:r>
        <w:rPr>
          <w:rFonts w:hint="eastAsia" w:ascii="宋体" w:hAnsi="宋体" w:cs="宋体"/>
          <w:b/>
          <w:color w:val="auto"/>
          <w:szCs w:val="21"/>
          <w:highlight w:val="none"/>
        </w:rPr>
        <w:t>项目经理</w:t>
      </w:r>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 xml:space="preserve">承包人项目经理： </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rPr>
      </w:pPr>
      <w:bookmarkStart w:id="884" w:name="_Toc351203486"/>
      <w:r>
        <w:rPr>
          <w:rFonts w:hint="eastAsia" w:ascii="宋体" w:hAnsi="宋体" w:cs="宋体"/>
          <w:b/>
          <w:color w:val="auto"/>
          <w:szCs w:val="21"/>
          <w:highlight w:val="none"/>
        </w:rPr>
        <w:t>六、合同文件构成</w:t>
      </w:r>
      <w:bookmarkEnd w:id="884"/>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本协议书与下列文件一起构成合同文件：</w:t>
      </w:r>
    </w:p>
    <w:p>
      <w:pPr>
        <w:keepNext w:val="0"/>
        <w:keepLines w:val="0"/>
        <w:pageBreakBefore w:val="0"/>
        <w:widowControl w:val="0"/>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（1）中标通知书（如果有）；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 xml:space="preserve">（2）投标函及其附录（如果有）； </w:t>
      </w:r>
    </w:p>
    <w:p>
      <w:pPr>
        <w:keepNext w:val="0"/>
        <w:keepLines w:val="0"/>
        <w:pageBreakBefore w:val="0"/>
        <w:widowControl w:val="0"/>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（3）专用合同条款及其附件；</w:t>
      </w:r>
    </w:p>
    <w:p>
      <w:pPr>
        <w:keepNext w:val="0"/>
        <w:keepLines w:val="0"/>
        <w:pageBreakBefore w:val="0"/>
        <w:widowControl w:val="0"/>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（4）通用合同条款；</w:t>
      </w:r>
    </w:p>
    <w:p>
      <w:pPr>
        <w:keepNext w:val="0"/>
        <w:keepLines w:val="0"/>
        <w:pageBreakBefore w:val="0"/>
        <w:widowControl w:val="0"/>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（5）技术标准和要求；</w:t>
      </w:r>
    </w:p>
    <w:p>
      <w:pPr>
        <w:keepNext w:val="0"/>
        <w:keepLines w:val="0"/>
        <w:pageBreakBefore w:val="0"/>
        <w:widowControl w:val="0"/>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（6）图纸；</w:t>
      </w:r>
    </w:p>
    <w:p>
      <w:pPr>
        <w:keepNext w:val="0"/>
        <w:keepLines w:val="0"/>
        <w:pageBreakBefore w:val="0"/>
        <w:widowControl w:val="0"/>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（7）已标价工程量清单或预算书；</w:t>
      </w:r>
    </w:p>
    <w:p>
      <w:pPr>
        <w:keepNext w:val="0"/>
        <w:keepLines w:val="0"/>
        <w:pageBreakBefore w:val="0"/>
        <w:widowControl w:val="0"/>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（8）其他合同文件。</w:t>
      </w:r>
    </w:p>
    <w:p>
      <w:pPr>
        <w:keepNext w:val="0"/>
        <w:keepLines w:val="0"/>
        <w:pageBreakBefore w:val="0"/>
        <w:widowControl w:val="0"/>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在合同订立及履行过程中形成的与合同有关的文件均构成合同文件组成部分。</w:t>
      </w:r>
    </w:p>
    <w:p>
      <w:pPr>
        <w:keepNext w:val="0"/>
        <w:keepLines w:val="0"/>
        <w:pageBreakBefore w:val="0"/>
        <w:widowControl w:val="0"/>
        <w:kinsoku/>
        <w:wordWrap/>
        <w:overflowPunct/>
        <w:topLinePunct w:val="0"/>
        <w:autoSpaceDE w:val="0"/>
        <w:autoSpaceDN w:val="0"/>
        <w:bidi w:val="0"/>
        <w:adjustRightInd w:val="0"/>
        <w:snapToGrid/>
        <w:spacing w:line="48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rPr>
      </w:pPr>
      <w:bookmarkStart w:id="885" w:name="_Toc351203487"/>
      <w:r>
        <w:rPr>
          <w:rFonts w:hint="eastAsia" w:ascii="宋体" w:hAnsi="宋体" w:cs="宋体"/>
          <w:b/>
          <w:color w:val="auto"/>
          <w:szCs w:val="21"/>
          <w:highlight w:val="none"/>
        </w:rPr>
        <w:t>七、承诺</w:t>
      </w:r>
      <w:bookmarkEnd w:id="885"/>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1. 发包人承诺按照法律规定履行项目审批手续、筹集工程建设资金并按照合同约定的期限和方式支付合同价款。</w:t>
      </w:r>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2. 承包人承诺按照法律规定及合同约定组织完成工程施工，确保工程质量和安全，不进行转包及违法分包，并在缺陷责任期及保修期内承担相应的工程维修责任。</w:t>
      </w:r>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3. 发包人和承包人通过招投标形式签订合同的，双方理解并承诺不再就同一工程另行签订与合同实质性内容相背离的协议。</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rPr>
      </w:pPr>
      <w:bookmarkStart w:id="886" w:name="_Toc351203488"/>
      <w:r>
        <w:rPr>
          <w:rFonts w:hint="eastAsia" w:ascii="宋体" w:hAnsi="宋体" w:cs="宋体"/>
          <w:b/>
          <w:color w:val="auto"/>
          <w:szCs w:val="21"/>
          <w:highlight w:val="none"/>
        </w:rPr>
        <w:t>八、词语含义</w:t>
      </w:r>
      <w:bookmarkEnd w:id="886"/>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本协议书中词语含义与第二部分通用合同条款中赋予的含义相同。</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rPr>
      </w:pPr>
      <w:bookmarkStart w:id="887" w:name="_Toc351203489"/>
      <w:r>
        <w:rPr>
          <w:rFonts w:hint="eastAsia" w:ascii="宋体" w:hAnsi="宋体" w:cs="宋体"/>
          <w:b/>
          <w:color w:val="auto"/>
          <w:szCs w:val="21"/>
          <w:highlight w:val="none"/>
        </w:rPr>
        <w:t>九、签订时间</w:t>
      </w:r>
      <w:bookmarkEnd w:id="887"/>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本合同于</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日签订。</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rPr>
      </w:pPr>
      <w:bookmarkStart w:id="888" w:name="_Toc351203490"/>
      <w:r>
        <w:rPr>
          <w:rFonts w:hint="eastAsia" w:ascii="宋体" w:hAnsi="宋体" w:cs="宋体"/>
          <w:b/>
          <w:color w:val="auto"/>
          <w:szCs w:val="21"/>
          <w:highlight w:val="none"/>
        </w:rPr>
        <w:t>十、签订地点</w:t>
      </w:r>
      <w:bookmarkEnd w:id="888"/>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本合同在</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签订。</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rPr>
      </w:pPr>
      <w:bookmarkStart w:id="889" w:name="_Toc351203491"/>
      <w:r>
        <w:rPr>
          <w:rFonts w:hint="eastAsia" w:ascii="宋体" w:hAnsi="宋体" w:cs="宋体"/>
          <w:b/>
          <w:color w:val="auto"/>
          <w:szCs w:val="21"/>
          <w:highlight w:val="none"/>
        </w:rPr>
        <w:t>十一、补充协议</w:t>
      </w:r>
      <w:bookmarkEnd w:id="889"/>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b/>
          <w:bCs/>
          <w:color w:val="auto"/>
          <w:szCs w:val="21"/>
          <w:highlight w:val="none"/>
        </w:rPr>
      </w:pPr>
      <w:r>
        <w:rPr>
          <w:rFonts w:hint="eastAsia" w:ascii="宋体" w:hAnsi="宋体" w:cs="宋体"/>
          <w:bCs/>
          <w:color w:val="auto"/>
          <w:szCs w:val="21"/>
          <w:highlight w:val="none"/>
        </w:rPr>
        <w:t>合同未尽事宜，合同当事人另行签订补充协议，补充协议是合同的组成部分。</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rPr>
      </w:pPr>
      <w:bookmarkStart w:id="890" w:name="_Toc351203492"/>
      <w:r>
        <w:rPr>
          <w:rFonts w:hint="eastAsia" w:ascii="宋体" w:hAnsi="宋体" w:cs="宋体"/>
          <w:b/>
          <w:color w:val="auto"/>
          <w:szCs w:val="21"/>
          <w:highlight w:val="none"/>
        </w:rPr>
        <w:t>十二、合同生效</w:t>
      </w:r>
      <w:bookmarkEnd w:id="890"/>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本合同自</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生效。</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Cs w:val="21"/>
          <w:highlight w:val="none"/>
        </w:rPr>
      </w:pPr>
      <w:bookmarkStart w:id="891" w:name="_Toc351203493"/>
      <w:r>
        <w:rPr>
          <w:rFonts w:hint="eastAsia" w:ascii="宋体" w:hAnsi="宋体" w:cs="宋体"/>
          <w:b/>
          <w:color w:val="auto"/>
          <w:szCs w:val="21"/>
          <w:highlight w:val="none"/>
        </w:rPr>
        <w:t>十三、合同份数</w:t>
      </w:r>
      <w:bookmarkEnd w:id="891"/>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本合同一式</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份，均具有同等法律效力，发包人执</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份，承包人执</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w:t>
      </w:r>
    </w:p>
    <w:p>
      <w:pPr>
        <w:spacing w:line="360" w:lineRule="auto"/>
        <w:rPr>
          <w:rFonts w:hint="eastAsia" w:ascii="宋体" w:hAnsi="宋体" w:cs="宋体"/>
          <w:bCs/>
          <w:color w:val="auto"/>
          <w:szCs w:val="21"/>
          <w:highlight w:val="none"/>
        </w:rPr>
      </w:pPr>
    </w:p>
    <w:p>
      <w:pPr>
        <w:spacing w:line="360" w:lineRule="auto"/>
        <w:ind w:firstLine="420" w:firstLineChars="200"/>
        <w:rPr>
          <w:rFonts w:hint="eastAsia" w:ascii="宋体" w:hAnsi="宋体" w:cs="宋体"/>
          <w:color w:val="auto"/>
          <w:szCs w:val="21"/>
          <w:highlight w:val="none"/>
        </w:rPr>
      </w:pPr>
    </w:p>
    <w:p>
      <w:pPr>
        <w:spacing w:line="360" w:lineRule="auto"/>
        <w:ind w:firstLine="420" w:firstLineChars="200"/>
        <w:rPr>
          <w:rFonts w:hint="eastAsia" w:ascii="宋体" w:hAnsi="宋体" w:cs="宋体"/>
          <w:color w:val="auto"/>
          <w:szCs w:val="21"/>
          <w:highlight w:val="none"/>
        </w:rPr>
      </w:pP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(公章)          承包人：</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(公章)</w:t>
      </w:r>
    </w:p>
    <w:p>
      <w:pPr>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rPr>
        <w:t xml:space="preserve">                                 </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法定代表人或其委托代理人：              法定代表人或其委托代理人：</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（签字）</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（签字）</w:t>
      </w:r>
      <w:r>
        <w:rPr>
          <w:rFonts w:hint="eastAsia" w:ascii="宋体" w:hAnsi="宋体" w:cs="宋体"/>
          <w:color w:val="auto"/>
          <w:szCs w:val="21"/>
          <w:highlight w:val="none"/>
          <w:u w:val="single"/>
        </w:rPr>
        <w:t xml:space="preserve">                  </w:t>
      </w:r>
    </w:p>
    <w:p>
      <w:pPr>
        <w:spacing w:line="360" w:lineRule="auto"/>
        <w:rPr>
          <w:rFonts w:hint="eastAsia" w:ascii="宋体" w:hAnsi="宋体" w:cs="宋体"/>
          <w:color w:val="auto"/>
          <w:szCs w:val="21"/>
          <w:highlight w:val="none"/>
          <w:u w:val="single"/>
        </w:rPr>
      </w:pPr>
    </w:p>
    <w:p>
      <w:pPr>
        <w:tabs>
          <w:tab w:val="left" w:pos="441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组织机构代码：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组织机构代码：</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地  址：</w:t>
      </w:r>
      <w:r>
        <w:rPr>
          <w:rFonts w:hint="eastAsia" w:ascii="宋体" w:hAnsi="宋体" w:cs="宋体"/>
          <w:color w:val="auto"/>
          <w:szCs w:val="21"/>
          <w:highlight w:val="none"/>
          <w:u w:val="single"/>
        </w:rPr>
        <w:t xml:space="preserve">                    </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 xml:space="preserve">     </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法定代表人：</w:t>
      </w:r>
      <w:r>
        <w:rPr>
          <w:rFonts w:hint="eastAsia" w:ascii="宋体" w:hAnsi="宋体" w:cs="宋体"/>
          <w:color w:val="auto"/>
          <w:szCs w:val="21"/>
          <w:highlight w:val="none"/>
          <w:u w:val="single"/>
        </w:rPr>
        <w:t xml:space="preserve">               </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委托代理人：</w:t>
      </w:r>
      <w:r>
        <w:rPr>
          <w:rFonts w:hint="eastAsia" w:ascii="宋体" w:hAnsi="宋体" w:cs="宋体"/>
          <w:color w:val="auto"/>
          <w:szCs w:val="21"/>
          <w:highlight w:val="none"/>
          <w:u w:val="single"/>
        </w:rPr>
        <w:t xml:space="preserve">                 </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rPr>
        <w:t xml:space="preserve">                     </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传  真：</w:t>
      </w:r>
      <w:r>
        <w:rPr>
          <w:rFonts w:hint="eastAsia" w:ascii="宋体" w:hAnsi="宋体" w:cs="宋体"/>
          <w:color w:val="auto"/>
          <w:szCs w:val="21"/>
          <w:highlight w:val="none"/>
          <w:u w:val="single"/>
        </w:rPr>
        <w:t xml:space="preserve">                    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电子信箱：</w:t>
      </w:r>
      <w:r>
        <w:rPr>
          <w:rFonts w:hint="eastAsia" w:ascii="宋体" w:hAnsi="宋体" w:cs="宋体"/>
          <w:color w:val="auto"/>
          <w:szCs w:val="21"/>
          <w:highlight w:val="none"/>
          <w:u w:val="single"/>
        </w:rPr>
        <w:t xml:space="preserve">                   </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开户银行：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开户银行：</w:t>
      </w:r>
      <w:r>
        <w:rPr>
          <w:rFonts w:hint="eastAsia" w:ascii="宋体" w:hAnsi="宋体" w:cs="宋体"/>
          <w:color w:val="auto"/>
          <w:szCs w:val="21"/>
          <w:highlight w:val="none"/>
          <w:u w:val="single"/>
        </w:rPr>
        <w:t xml:space="preserve">                   </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rPr>
        <w:t>账  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账  号：</w:t>
      </w:r>
      <w:r>
        <w:rPr>
          <w:rFonts w:hint="eastAsia" w:ascii="宋体" w:hAnsi="宋体" w:cs="宋体"/>
          <w:color w:val="auto"/>
          <w:szCs w:val="21"/>
          <w:highlight w:val="none"/>
          <w:u w:val="single"/>
        </w:rPr>
        <w:t xml:space="preserve">                     </w:t>
      </w:r>
    </w:p>
    <w:p>
      <w:pPr>
        <w:keepNext/>
        <w:keepLines/>
        <w:spacing w:line="360" w:lineRule="auto"/>
        <w:jc w:val="center"/>
        <w:outlineLvl w:val="1"/>
        <w:rPr>
          <w:rFonts w:hint="eastAsia" w:ascii="宋体" w:hAnsi="宋体" w:cs="宋体"/>
          <w:snapToGrid w:val="0"/>
          <w:color w:val="auto"/>
          <w:kern w:val="0"/>
          <w:sz w:val="28"/>
          <w:highlight w:val="none"/>
        </w:rPr>
      </w:pPr>
      <w:r>
        <w:rPr>
          <w:rFonts w:hint="eastAsia" w:ascii="宋体" w:hAnsi="宋体" w:eastAsia="宋体" w:cs="宋体"/>
          <w:b/>
          <w:bCs/>
          <w:color w:val="auto"/>
          <w:sz w:val="32"/>
          <w:szCs w:val="32"/>
          <w:highlight w:val="none"/>
        </w:rPr>
        <w:br w:type="page"/>
      </w:r>
      <w:bookmarkEnd w:id="877"/>
      <w:bookmarkEnd w:id="878"/>
      <w:bookmarkStart w:id="892" w:name="_Toc95223460"/>
      <w:bookmarkStart w:id="893" w:name="_Toc15494"/>
      <w:bookmarkStart w:id="894" w:name="_Toc4139"/>
      <w:r>
        <w:rPr>
          <w:rFonts w:hint="eastAsia" w:ascii="黑体" w:hAnsi="Times New Roman" w:eastAsia="黑体" w:cs="黑体"/>
          <w:b/>
          <w:bCs/>
          <w:color w:val="auto"/>
          <w:kern w:val="0"/>
          <w:sz w:val="32"/>
          <w:szCs w:val="32"/>
          <w:highlight w:val="none"/>
          <w:lang w:val="en-US" w:eastAsia="zh-CN" w:bidi="ar-SA"/>
        </w:rPr>
        <w:t>第二节  通用合同条款</w:t>
      </w:r>
      <w:bookmarkEnd w:id="892"/>
      <w:bookmarkEnd w:id="893"/>
    </w:p>
    <w:p>
      <w:pPr>
        <w:spacing w:line="440" w:lineRule="exact"/>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采用《建设工程施工合同(示范文本)》（GF-2017-0201）中通用合同条款。上述资料由投标人自行准备。</w:t>
      </w:r>
    </w:p>
    <w:p>
      <w:pPr>
        <w:pStyle w:val="8"/>
        <w:jc w:val="center"/>
        <w:rPr>
          <w:rFonts w:hint="eastAsia" w:ascii="黑体" w:eastAsia="黑体" w:cs="黑体"/>
          <w:color w:val="auto"/>
          <w:highlight w:val="none"/>
        </w:rPr>
      </w:pPr>
      <w:bookmarkStart w:id="895" w:name="_Toc14492"/>
      <w:r>
        <w:rPr>
          <w:rFonts w:hint="eastAsia" w:ascii="黑体" w:eastAsia="黑体" w:cs="黑体"/>
          <w:color w:val="auto"/>
          <w:highlight w:val="none"/>
        </w:rPr>
        <w:t>第三节 专用合同条款</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1. 一般约定</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 xml:space="preserve">1.1 </w:t>
      </w:r>
      <w:r>
        <w:rPr>
          <w:rFonts w:hint="eastAsia" w:ascii="宋体" w:hAnsi="宋体" w:cs="宋体"/>
          <w:bCs/>
          <w:color w:val="auto"/>
          <w:szCs w:val="28"/>
          <w:highlight w:val="none"/>
        </w:rPr>
        <w:t>词语定义与解释</w:t>
      </w:r>
    </w:p>
    <w:p>
      <w:pPr>
        <w:snapToGrid w:val="0"/>
        <w:spacing w:line="440" w:lineRule="exact"/>
        <w:ind w:firstLine="420" w:firstLineChars="200"/>
        <w:rPr>
          <w:rFonts w:hint="eastAsia" w:ascii="宋体" w:cs="宋体"/>
          <w:color w:val="auto"/>
          <w:kern w:val="0"/>
          <w:szCs w:val="21"/>
          <w:highlight w:val="none"/>
        </w:rPr>
      </w:pPr>
      <w:r>
        <w:rPr>
          <w:rFonts w:hint="eastAsia" w:ascii="宋体" w:cs="宋体"/>
          <w:color w:val="auto"/>
          <w:kern w:val="0"/>
          <w:szCs w:val="21"/>
          <w:highlight w:val="none"/>
        </w:rPr>
        <w:t>1.1.1合同</w:t>
      </w:r>
    </w:p>
    <w:p>
      <w:pPr>
        <w:snapToGrid w:val="0"/>
        <w:spacing w:line="440" w:lineRule="exact"/>
        <w:ind w:firstLine="420" w:firstLineChars="200"/>
        <w:rPr>
          <w:rFonts w:hint="eastAsia" w:ascii="宋体" w:cs="宋体"/>
          <w:color w:val="auto"/>
          <w:kern w:val="0"/>
          <w:szCs w:val="21"/>
          <w:highlight w:val="none"/>
        </w:rPr>
      </w:pPr>
      <w:r>
        <w:rPr>
          <w:rFonts w:hint="eastAsia" w:ascii="宋体" w:cs="宋体"/>
          <w:color w:val="auto"/>
          <w:kern w:val="0"/>
          <w:szCs w:val="21"/>
          <w:highlight w:val="none"/>
        </w:rPr>
        <w:t>1.1.1.10其他合同文件包括：</w:t>
      </w:r>
      <w:r>
        <w:rPr>
          <w:rFonts w:hint="eastAsia" w:ascii="宋体" w:cs="宋体"/>
          <w:color w:val="auto"/>
          <w:szCs w:val="21"/>
          <w:highlight w:val="none"/>
          <w:u w:val="single"/>
        </w:rPr>
        <w:t>本项目招标文件、在合同订立及履行过程中形成的与合同有关的文件均构成合同文件组成部分。</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1.1.2 合同当事人及其他相关方</w:t>
      </w:r>
    </w:p>
    <w:p>
      <w:pPr>
        <w:snapToGrid w:val="0"/>
        <w:spacing w:line="440" w:lineRule="exact"/>
        <w:ind w:firstLine="420" w:firstLineChars="200"/>
        <w:rPr>
          <w:rFonts w:hint="eastAsia" w:ascii="宋体" w:cs="宋体"/>
          <w:strike w:val="0"/>
          <w:dstrike w:val="0"/>
          <w:color w:val="auto"/>
          <w:szCs w:val="21"/>
          <w:highlight w:val="none"/>
        </w:rPr>
      </w:pPr>
      <w:r>
        <w:rPr>
          <w:rFonts w:hint="eastAsia" w:ascii="宋体" w:cs="宋体"/>
          <w:strike w:val="0"/>
          <w:dstrike w:val="0"/>
          <w:color w:val="auto"/>
          <w:szCs w:val="21"/>
          <w:highlight w:val="none"/>
        </w:rPr>
        <w:t>1.1.2.4</w:t>
      </w:r>
      <w:r>
        <w:rPr>
          <w:rFonts w:hint="eastAsia" w:ascii="宋体" w:cs="宋体"/>
          <w:strike w:val="0"/>
          <w:dstrike w:val="0"/>
          <w:color w:val="auto"/>
          <w:szCs w:val="21"/>
          <w:highlight w:val="none"/>
          <w:lang w:val="en-US" w:eastAsia="zh-CN"/>
        </w:rPr>
        <w:t>发包人</w:t>
      </w:r>
      <w:r>
        <w:rPr>
          <w:rFonts w:hint="eastAsia" w:ascii="宋体" w:cs="宋体"/>
          <w:strike w:val="0"/>
          <w:dstrike w:val="0"/>
          <w:color w:val="auto"/>
          <w:szCs w:val="21"/>
          <w:highlight w:val="none"/>
        </w:rPr>
        <w:t>：</w:t>
      </w:r>
    </w:p>
    <w:p>
      <w:pPr>
        <w:snapToGrid w:val="0"/>
        <w:spacing w:line="440" w:lineRule="exact"/>
        <w:ind w:firstLine="420" w:firstLineChars="200"/>
        <w:rPr>
          <w:rFonts w:hint="eastAsia" w:ascii="宋体" w:cs="宋体"/>
          <w:strike w:val="0"/>
          <w:dstrike w:val="0"/>
          <w:color w:val="auto"/>
          <w:szCs w:val="21"/>
          <w:highlight w:val="none"/>
        </w:rPr>
      </w:pPr>
      <w:r>
        <w:rPr>
          <w:rFonts w:hint="eastAsia" w:ascii="宋体" w:cs="宋体"/>
          <w:strike w:val="0"/>
          <w:dstrike w:val="0"/>
          <w:color w:val="auto"/>
          <w:szCs w:val="21"/>
          <w:highlight w:val="none"/>
        </w:rPr>
        <w:t>名    称：</w:t>
      </w:r>
      <w:r>
        <w:rPr>
          <w:rFonts w:hint="eastAsia" w:ascii="宋体" w:cs="宋体"/>
          <w:strike w:val="0"/>
          <w:dstrike w:val="0"/>
          <w:color w:val="auto"/>
          <w:szCs w:val="21"/>
          <w:highlight w:val="none"/>
          <w:u w:val="single"/>
        </w:rPr>
        <w:t xml:space="preserve">                                         </w:t>
      </w:r>
      <w:r>
        <w:rPr>
          <w:rFonts w:hint="eastAsia" w:ascii="宋体" w:cs="宋体"/>
          <w:strike w:val="0"/>
          <w:dstrike w:val="0"/>
          <w:color w:val="auto"/>
          <w:szCs w:val="21"/>
          <w:highlight w:val="none"/>
        </w:rPr>
        <w:t>；</w:t>
      </w:r>
    </w:p>
    <w:p>
      <w:pPr>
        <w:snapToGrid w:val="0"/>
        <w:spacing w:line="440" w:lineRule="exact"/>
        <w:ind w:firstLine="420" w:firstLineChars="200"/>
        <w:rPr>
          <w:rFonts w:hint="eastAsia" w:ascii="宋体" w:cs="宋体"/>
          <w:strike w:val="0"/>
          <w:dstrike w:val="0"/>
          <w:color w:val="auto"/>
          <w:szCs w:val="21"/>
          <w:highlight w:val="none"/>
        </w:rPr>
      </w:pPr>
      <w:r>
        <w:rPr>
          <w:rFonts w:hint="eastAsia" w:ascii="宋体" w:cs="宋体"/>
          <w:strike w:val="0"/>
          <w:dstrike w:val="0"/>
          <w:color w:val="auto"/>
          <w:szCs w:val="21"/>
          <w:highlight w:val="none"/>
          <w:lang w:val="en-US" w:eastAsia="zh-CN"/>
        </w:rPr>
        <w:t>发包人现场联系人</w:t>
      </w:r>
      <w:r>
        <w:rPr>
          <w:rFonts w:hint="eastAsia" w:ascii="宋体" w:cs="宋体"/>
          <w:strike w:val="0"/>
          <w:dstrike w:val="0"/>
          <w:color w:val="auto"/>
          <w:szCs w:val="21"/>
          <w:highlight w:val="none"/>
        </w:rPr>
        <w:t>：</w:t>
      </w:r>
      <w:r>
        <w:rPr>
          <w:rFonts w:hint="eastAsia" w:ascii="宋体" w:cs="宋体"/>
          <w:strike w:val="0"/>
          <w:dstrike w:val="0"/>
          <w:color w:val="auto"/>
          <w:szCs w:val="21"/>
          <w:highlight w:val="none"/>
          <w:u w:val="single"/>
        </w:rPr>
        <w:t>               </w:t>
      </w:r>
      <w:r>
        <w:rPr>
          <w:rFonts w:hint="eastAsia" w:ascii="宋体" w:cs="宋体"/>
          <w:strike w:val="0"/>
          <w:dstrike w:val="0"/>
          <w:color w:val="auto"/>
          <w:szCs w:val="21"/>
          <w:highlight w:val="none"/>
        </w:rPr>
        <w:t>；</w:t>
      </w:r>
    </w:p>
    <w:p>
      <w:pPr>
        <w:snapToGrid w:val="0"/>
        <w:spacing w:line="440" w:lineRule="exact"/>
        <w:ind w:firstLine="420" w:firstLineChars="200"/>
        <w:rPr>
          <w:rFonts w:hint="eastAsia" w:ascii="宋体" w:cs="宋体"/>
          <w:strike w:val="0"/>
          <w:dstrike w:val="0"/>
          <w:color w:val="auto"/>
          <w:szCs w:val="21"/>
          <w:highlight w:val="none"/>
        </w:rPr>
      </w:pPr>
      <w:r>
        <w:rPr>
          <w:rFonts w:hint="eastAsia" w:ascii="宋体" w:cs="宋体"/>
          <w:strike w:val="0"/>
          <w:dstrike w:val="0"/>
          <w:color w:val="auto"/>
          <w:szCs w:val="21"/>
          <w:highlight w:val="none"/>
        </w:rPr>
        <w:t>联系电话：</w:t>
      </w:r>
      <w:r>
        <w:rPr>
          <w:rFonts w:hint="eastAsia" w:ascii="宋体" w:cs="宋体"/>
          <w:strike w:val="0"/>
          <w:dstrike w:val="0"/>
          <w:color w:val="auto"/>
          <w:szCs w:val="21"/>
          <w:highlight w:val="none"/>
          <w:u w:val="single"/>
        </w:rPr>
        <w:t>                 </w:t>
      </w:r>
      <w:r>
        <w:rPr>
          <w:rFonts w:hint="eastAsia" w:ascii="宋体" w:cs="宋体"/>
          <w:strike w:val="0"/>
          <w:dstrike w:val="0"/>
          <w:color w:val="auto"/>
          <w:szCs w:val="21"/>
          <w:highlight w:val="none"/>
        </w:rPr>
        <w:t>；</w:t>
      </w:r>
    </w:p>
    <w:p>
      <w:pPr>
        <w:snapToGrid w:val="0"/>
        <w:spacing w:line="440" w:lineRule="exact"/>
        <w:ind w:firstLine="420" w:firstLineChars="200"/>
        <w:rPr>
          <w:rFonts w:hint="eastAsia" w:ascii="宋体" w:cs="宋体"/>
          <w:strike w:val="0"/>
          <w:dstrike w:val="0"/>
          <w:color w:val="auto"/>
          <w:szCs w:val="21"/>
          <w:highlight w:val="none"/>
        </w:rPr>
      </w:pPr>
      <w:r>
        <w:rPr>
          <w:rFonts w:hint="eastAsia" w:ascii="宋体" w:cs="宋体"/>
          <w:strike w:val="0"/>
          <w:dstrike w:val="0"/>
          <w:color w:val="auto"/>
          <w:szCs w:val="21"/>
          <w:highlight w:val="none"/>
        </w:rPr>
        <w:t>电子信箱：</w:t>
      </w:r>
      <w:r>
        <w:rPr>
          <w:rFonts w:hint="eastAsia" w:ascii="宋体" w:cs="宋体"/>
          <w:strike w:val="0"/>
          <w:dstrike w:val="0"/>
          <w:color w:val="auto"/>
          <w:szCs w:val="21"/>
          <w:highlight w:val="none"/>
          <w:u w:val="single"/>
        </w:rPr>
        <w:t>                 </w:t>
      </w:r>
      <w:r>
        <w:rPr>
          <w:rFonts w:hint="eastAsia" w:ascii="宋体" w:cs="宋体"/>
          <w:strike w:val="0"/>
          <w:dstrike w:val="0"/>
          <w:color w:val="auto"/>
          <w:szCs w:val="21"/>
          <w:highlight w:val="none"/>
        </w:rPr>
        <w:t>；</w:t>
      </w:r>
    </w:p>
    <w:p>
      <w:pPr>
        <w:snapToGrid w:val="0"/>
        <w:spacing w:line="440" w:lineRule="exact"/>
        <w:ind w:firstLine="420" w:firstLineChars="200"/>
        <w:rPr>
          <w:rFonts w:hint="eastAsia" w:ascii="宋体" w:cs="宋体"/>
          <w:strike w:val="0"/>
          <w:dstrike w:val="0"/>
          <w:color w:val="auto"/>
          <w:szCs w:val="21"/>
          <w:highlight w:val="none"/>
        </w:rPr>
      </w:pPr>
      <w:r>
        <w:rPr>
          <w:rFonts w:hint="eastAsia" w:ascii="宋体" w:cs="宋体"/>
          <w:strike w:val="0"/>
          <w:dstrike w:val="0"/>
          <w:color w:val="auto"/>
          <w:szCs w:val="21"/>
          <w:highlight w:val="none"/>
        </w:rPr>
        <w:t>通信地址：</w:t>
      </w:r>
      <w:r>
        <w:rPr>
          <w:rFonts w:hint="eastAsia" w:ascii="宋体" w:cs="宋体"/>
          <w:strike w:val="0"/>
          <w:dstrike w:val="0"/>
          <w:color w:val="auto"/>
          <w:szCs w:val="21"/>
          <w:highlight w:val="none"/>
          <w:u w:val="single"/>
        </w:rPr>
        <w:t>                </w:t>
      </w:r>
      <w:r>
        <w:rPr>
          <w:rFonts w:hint="eastAsia" w:ascii="宋体" w:cs="宋体"/>
          <w:strike w:val="0"/>
          <w:dstrike w:val="0"/>
          <w:color w:val="auto"/>
          <w:szCs w:val="21"/>
          <w:highlight w:val="none"/>
        </w:rPr>
        <w:t>。</w:t>
      </w:r>
    </w:p>
    <w:p>
      <w:pPr>
        <w:snapToGrid w:val="0"/>
        <w:spacing w:line="440" w:lineRule="exact"/>
        <w:ind w:firstLine="420" w:firstLineChars="200"/>
        <w:rPr>
          <w:rFonts w:hint="eastAsia" w:ascii="宋体" w:cs="宋体"/>
          <w:strike w:val="0"/>
          <w:dstrike w:val="0"/>
          <w:color w:val="auto"/>
          <w:szCs w:val="21"/>
          <w:highlight w:val="none"/>
        </w:rPr>
      </w:pPr>
      <w:r>
        <w:rPr>
          <w:rFonts w:hint="eastAsia" w:ascii="宋体" w:cs="宋体"/>
          <w:strike w:val="0"/>
          <w:dstrike w:val="0"/>
          <w:color w:val="auto"/>
          <w:szCs w:val="21"/>
          <w:highlight w:val="none"/>
        </w:rPr>
        <w:t xml:space="preserve">1.1.2.5 </w:t>
      </w:r>
      <w:r>
        <w:rPr>
          <w:rFonts w:hint="eastAsia" w:ascii="宋体" w:cs="宋体"/>
          <w:strike w:val="0"/>
          <w:dstrike w:val="0"/>
          <w:color w:val="auto"/>
          <w:szCs w:val="21"/>
          <w:highlight w:val="none"/>
          <w:lang w:val="en-US" w:eastAsia="zh-CN"/>
        </w:rPr>
        <w:t>承包人</w:t>
      </w:r>
      <w:r>
        <w:rPr>
          <w:rFonts w:hint="eastAsia" w:ascii="宋体" w:cs="宋体"/>
          <w:strike w:val="0"/>
          <w:dstrike w:val="0"/>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名    称：</w:t>
      </w:r>
      <w:r>
        <w:rPr>
          <w:rFonts w:hint="eastAsia" w:ascii="宋体" w:cs="宋体"/>
          <w:color w:val="auto"/>
          <w:szCs w:val="21"/>
          <w:highlight w:val="none"/>
          <w:u w:val="single"/>
        </w:rPr>
        <w:t xml:space="preserve">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资质类别和等级：</w:t>
      </w:r>
      <w:r>
        <w:rPr>
          <w:rFonts w:hint="eastAsia" w:ascii="宋体" w:cs="宋体"/>
          <w:color w:val="auto"/>
          <w:szCs w:val="21"/>
          <w:highlight w:val="none"/>
          <w:u w:val="single"/>
        </w:rPr>
        <w:t>              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lang w:eastAsia="zh-CN"/>
        </w:rPr>
      </w:pPr>
      <w:r>
        <w:rPr>
          <w:rFonts w:hint="eastAsia" w:ascii="宋体" w:cs="宋体"/>
          <w:color w:val="auto"/>
          <w:szCs w:val="21"/>
          <w:highlight w:val="none"/>
          <w:lang w:val="en-US" w:eastAsia="zh-CN"/>
        </w:rPr>
        <w:t>项目经理：</w:t>
      </w:r>
      <w:r>
        <w:rPr>
          <w:rFonts w:hint="eastAsia" w:ascii="宋体" w:cs="宋体"/>
          <w:color w:val="auto"/>
          <w:szCs w:val="21"/>
          <w:highlight w:val="none"/>
          <w:u w:val="single"/>
        </w:rPr>
        <w:t>                 </w:t>
      </w:r>
      <w:r>
        <w:rPr>
          <w:rFonts w:hint="eastAsia" w:ascii="宋体" w:cs="宋体"/>
          <w:color w:val="auto"/>
          <w:szCs w:val="21"/>
          <w:highlight w:val="none"/>
        </w:rPr>
        <w:t>；</w:t>
      </w:r>
      <w:r>
        <w:rPr>
          <w:rFonts w:hint="eastAsia" w:ascii="宋体" w:cs="宋体"/>
          <w:color w:val="auto"/>
          <w:szCs w:val="21"/>
          <w:highlight w:val="none"/>
          <w:lang w:eastAsia="zh-CN"/>
        </w:rPr>
        <w:t>、</w:t>
      </w:r>
    </w:p>
    <w:p>
      <w:pPr>
        <w:snapToGrid w:val="0"/>
        <w:spacing w:line="440" w:lineRule="exact"/>
        <w:ind w:firstLine="420" w:firstLineChars="200"/>
        <w:rPr>
          <w:rFonts w:hint="eastAsia"/>
          <w:color w:val="auto"/>
          <w:highlight w:val="none"/>
          <w:lang w:val="en-US" w:eastAsia="zh-CN"/>
        </w:rPr>
      </w:pPr>
      <w:r>
        <w:rPr>
          <w:rFonts w:hint="eastAsia" w:ascii="宋体" w:cs="宋体"/>
          <w:color w:val="auto"/>
          <w:szCs w:val="21"/>
          <w:highlight w:val="none"/>
          <w:lang w:val="en-US" w:eastAsia="zh-CN"/>
        </w:rPr>
        <w:t>项目经理</w:t>
      </w:r>
      <w:r>
        <w:rPr>
          <w:rFonts w:hint="eastAsia" w:ascii="宋体" w:cs="宋体"/>
          <w:color w:val="auto"/>
          <w:szCs w:val="21"/>
          <w:highlight w:val="none"/>
        </w:rPr>
        <w:t>资质类别和等级：</w:t>
      </w:r>
      <w:r>
        <w:rPr>
          <w:rFonts w:hint="eastAsia" w:ascii="宋体" w:cs="宋体"/>
          <w:color w:val="auto"/>
          <w:szCs w:val="21"/>
          <w:highlight w:val="none"/>
          <w:u w:val="single"/>
        </w:rPr>
        <w:t>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联系电话：</w:t>
      </w:r>
      <w:r>
        <w:rPr>
          <w:rFonts w:hint="eastAsia" w:ascii="宋体" w:cs="宋体"/>
          <w:color w:val="auto"/>
          <w:szCs w:val="21"/>
          <w:highlight w:val="none"/>
          <w:u w:val="single"/>
        </w:rPr>
        <w:t>                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电子信箱：</w:t>
      </w:r>
      <w:r>
        <w:rPr>
          <w:rFonts w:hint="eastAsia" w:ascii="宋体" w:cs="宋体"/>
          <w:color w:val="auto"/>
          <w:szCs w:val="21"/>
          <w:highlight w:val="none"/>
          <w:u w:val="single"/>
        </w:rPr>
        <w:t xml:space="preserve">                  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通信地址：</w:t>
      </w:r>
      <w:r>
        <w:rPr>
          <w:rFonts w:hint="eastAsia" w:ascii="宋体" w:cs="宋体"/>
          <w:color w:val="auto"/>
          <w:szCs w:val="21"/>
          <w:highlight w:val="none"/>
          <w:u w:val="single"/>
        </w:rPr>
        <w:t>    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1.1.3 工程和设备</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1.1.3.7 作为施工现场组成部分的其他场所包括：</w:t>
      </w:r>
      <w:r>
        <w:rPr>
          <w:rFonts w:hint="eastAsia" w:ascii="宋体" w:cs="宋体"/>
          <w:color w:val="auto"/>
          <w:szCs w:val="21"/>
          <w:highlight w:val="none"/>
          <w:u w:val="single"/>
        </w:rPr>
        <w:t xml:space="preserve"> 见施工图纸并现场确定</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1.1.3.9 永久占地包括：</w:t>
      </w:r>
      <w:r>
        <w:rPr>
          <w:rFonts w:hint="eastAsia" w:ascii="宋体" w:cs="宋体"/>
          <w:color w:val="auto"/>
          <w:szCs w:val="21"/>
          <w:highlight w:val="none"/>
          <w:u w:val="single"/>
        </w:rPr>
        <w:t xml:space="preserve">   见施工图纸 </w:t>
      </w:r>
      <w:r>
        <w:rPr>
          <w:rFonts w:hint="eastAsia" w:ascii="宋体" w:cs="宋体"/>
          <w:color w:val="auto"/>
          <w:kern w:val="0"/>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kern w:val="0"/>
          <w:szCs w:val="21"/>
          <w:highlight w:val="none"/>
        </w:rPr>
        <w:t>1.1.3.10 临时占地包括：</w:t>
      </w:r>
      <w:r>
        <w:rPr>
          <w:rFonts w:hint="eastAsia" w:ascii="宋体" w:cs="宋体"/>
          <w:color w:val="auto"/>
          <w:szCs w:val="21"/>
          <w:highlight w:val="none"/>
          <w:u w:val="single"/>
        </w:rPr>
        <w:t xml:space="preserve">   现场确定</w:t>
      </w:r>
      <w:r>
        <w:rPr>
          <w:rFonts w:hint="eastAsia" w:ascii="宋体" w:cs="宋体"/>
          <w:color w:val="auto"/>
          <w:kern w:val="0"/>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 xml:space="preserve">1.3法律 </w:t>
      </w:r>
    </w:p>
    <w:p>
      <w:pPr>
        <w:autoSpaceDE w:val="0"/>
        <w:autoSpaceDN w:val="0"/>
        <w:adjustRightInd w:val="0"/>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适用于合同的其他规范性文件：</w:t>
      </w:r>
      <w:r>
        <w:rPr>
          <w:rFonts w:hint="eastAsia" w:ascii="宋体" w:hAnsi="宋体" w:cs="宋体"/>
          <w:color w:val="auto"/>
          <w:szCs w:val="21"/>
          <w:highlight w:val="none"/>
          <w:u w:val="single"/>
        </w:rPr>
        <w:t>《中华人民共和国民法典》、《中华人民共和国建筑法》、《中华人民共和国招标投标法》、《建设工程质量管理条例》、《建设工程安全生产管理条例》等国家及工程所在地现行有效的法律法规和规章</w:t>
      </w:r>
      <w:r>
        <w:rPr>
          <w:rFonts w:hint="eastAsia" w:ascii="宋体" w:cs="宋体"/>
          <w:color w:val="auto"/>
          <w:szCs w:val="21"/>
          <w:highlight w:val="none"/>
          <w:u w:val="singl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1.4 标准和规范</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1.4.1适用于工程的标准规范包括：</w:t>
      </w:r>
      <w:r>
        <w:rPr>
          <w:rFonts w:hint="eastAsia" w:ascii="宋体" w:cs="宋体"/>
          <w:color w:val="auto"/>
          <w:szCs w:val="21"/>
          <w:highlight w:val="none"/>
          <w:u w:val="single"/>
        </w:rPr>
        <w:t>中华人民共和国住房和城乡建设部等部门及省、市发布的有关文件</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kern w:val="0"/>
          <w:szCs w:val="21"/>
          <w:highlight w:val="none"/>
        </w:rPr>
      </w:pPr>
      <w:r>
        <w:rPr>
          <w:rFonts w:hint="eastAsia" w:ascii="宋体" w:cs="宋体"/>
          <w:color w:val="auto"/>
          <w:kern w:val="0"/>
          <w:szCs w:val="21"/>
          <w:highlight w:val="none"/>
        </w:rPr>
        <w:t>1.4.2 发包人提供国外标准、规范的名称：</w:t>
      </w:r>
      <w:r>
        <w:rPr>
          <w:rFonts w:hint="eastAsia" w:ascii="宋体" w:cs="宋体"/>
          <w:color w:val="auto"/>
          <w:kern w:val="0"/>
          <w:szCs w:val="21"/>
          <w:highlight w:val="none"/>
          <w:u w:val="single"/>
        </w:rPr>
        <w:t xml:space="preserve"> </w:t>
      </w:r>
      <w:r>
        <w:rPr>
          <w:rFonts w:hint="eastAsia" w:ascii="宋体" w:cs="宋体"/>
          <w:color w:val="auto"/>
          <w:szCs w:val="21"/>
          <w:highlight w:val="none"/>
          <w:u w:val="single"/>
        </w:rPr>
        <w:t>承包人自备国内现行适用的标准、规范</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rPr>
        <w:t>；</w:t>
      </w:r>
    </w:p>
    <w:p>
      <w:pPr>
        <w:snapToGrid w:val="0"/>
        <w:spacing w:line="440" w:lineRule="exact"/>
        <w:ind w:firstLine="420" w:firstLineChars="200"/>
        <w:rPr>
          <w:rFonts w:hint="eastAsia" w:ascii="宋体" w:cs="宋体"/>
          <w:color w:val="auto"/>
          <w:kern w:val="0"/>
          <w:szCs w:val="21"/>
          <w:highlight w:val="none"/>
        </w:rPr>
      </w:pPr>
      <w:r>
        <w:rPr>
          <w:rFonts w:hint="eastAsia" w:ascii="宋体" w:cs="宋体"/>
          <w:color w:val="auto"/>
          <w:kern w:val="0"/>
          <w:szCs w:val="21"/>
          <w:highlight w:val="none"/>
        </w:rPr>
        <w:t>发包人提供国外标准、规范的份数：</w:t>
      </w:r>
      <w:r>
        <w:rPr>
          <w:rFonts w:hint="eastAsia" w:ascii="宋体" w:cs="宋体"/>
          <w:color w:val="auto"/>
          <w:kern w:val="0"/>
          <w:szCs w:val="21"/>
          <w:highlight w:val="none"/>
          <w:u w:val="single"/>
        </w:rPr>
        <w:t xml:space="preserve">   无   </w:t>
      </w:r>
      <w:r>
        <w:rPr>
          <w:rFonts w:hint="eastAsia" w:ascii="宋体" w:cs="宋体"/>
          <w:color w:val="auto"/>
          <w:kern w:val="0"/>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kern w:val="0"/>
          <w:szCs w:val="21"/>
          <w:highlight w:val="none"/>
        </w:rPr>
        <w:t>发包人提供国外标准、规范的名称：</w:t>
      </w:r>
      <w:r>
        <w:rPr>
          <w:rFonts w:hint="eastAsia" w:ascii="宋体" w:cs="宋体"/>
          <w:color w:val="auto"/>
          <w:kern w:val="0"/>
          <w:szCs w:val="21"/>
          <w:highlight w:val="none"/>
          <w:u w:val="single"/>
        </w:rPr>
        <w:t xml:space="preserve">   无   </w:t>
      </w:r>
      <w:r>
        <w:rPr>
          <w:rFonts w:hint="eastAsia" w:ascii="宋体" w:cs="宋体"/>
          <w:color w:val="auto"/>
          <w:kern w:val="0"/>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1.4.3发包人对工程的技术标准和功能要求的特殊要求：</w:t>
      </w:r>
      <w:r>
        <w:rPr>
          <w:rFonts w:hint="eastAsia" w:ascii="宋体" w:cs="宋体"/>
          <w:color w:val="auto"/>
          <w:szCs w:val="21"/>
          <w:highlight w:val="none"/>
          <w:u w:val="single"/>
        </w:rPr>
        <w:t xml:space="preserve">按现行规范执行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1.5 合同文件的优先顺序</w:t>
      </w:r>
    </w:p>
    <w:p>
      <w:pPr>
        <w:snapToGrid w:val="0"/>
        <w:spacing w:line="440" w:lineRule="exact"/>
        <w:ind w:firstLine="420" w:firstLineChars="200"/>
        <w:rPr>
          <w:color w:val="auto"/>
          <w:highlight w:val="none"/>
        </w:rPr>
      </w:pPr>
      <w:r>
        <w:rPr>
          <w:rFonts w:hint="eastAsia" w:ascii="宋体" w:cs="宋体"/>
          <w:color w:val="auto"/>
          <w:szCs w:val="21"/>
          <w:highlight w:val="none"/>
        </w:rPr>
        <w:t>合同文件组成及优先顺序为：</w:t>
      </w:r>
      <w:r>
        <w:rPr>
          <w:rFonts w:hint="eastAsia" w:ascii="宋体" w:cs="宋体"/>
          <w:color w:val="auto"/>
          <w:szCs w:val="21"/>
          <w:highlight w:val="none"/>
          <w:u w:val="single"/>
        </w:rPr>
        <w:t>（1）合同协议书；（2）中</w:t>
      </w:r>
      <w:r>
        <w:rPr>
          <w:rFonts w:hint="eastAsia" w:ascii="宋体" w:cs="宋体"/>
          <w:color w:val="auto"/>
          <w:szCs w:val="21"/>
          <w:highlight w:val="none"/>
          <w:u w:val="single"/>
          <w:lang w:val="en-US" w:eastAsia="zh-CN"/>
        </w:rPr>
        <w:t>标</w:t>
      </w:r>
      <w:r>
        <w:rPr>
          <w:rFonts w:hint="eastAsia" w:ascii="宋体" w:cs="宋体"/>
          <w:color w:val="auto"/>
          <w:szCs w:val="21"/>
          <w:highlight w:val="none"/>
          <w:u w:val="single"/>
        </w:rPr>
        <w:t>通知书；（3）确认函及其附录；（4）招标文件；（5）专用合同条款及其附件；（6）通用合同条款；（7）技术标准和要求；（8）图纸；（9）已标价工程量清单或预算书；（10）其他合同文件。</w:t>
      </w:r>
    </w:p>
    <w:p>
      <w:pPr>
        <w:pStyle w:val="2"/>
        <w:spacing w:after="0" w:line="440" w:lineRule="exact"/>
        <w:ind w:left="0" w:leftChars="0"/>
        <w:rPr>
          <w:color w:val="auto"/>
          <w:highlight w:val="none"/>
        </w:rPr>
      </w:pPr>
      <w:r>
        <w:rPr>
          <w:color w:val="auto"/>
          <w:highlight w:val="none"/>
        </w:rPr>
        <w:t>上述各项合同文件包括合同当事人就该项合同文件所作出的补充和修改，属于同一类内容的文件，应以最新签署的为准。</w:t>
      </w:r>
    </w:p>
    <w:p>
      <w:pPr>
        <w:pStyle w:val="2"/>
        <w:spacing w:after="0" w:line="440" w:lineRule="exact"/>
        <w:ind w:left="0" w:leftChars="0"/>
        <w:rPr>
          <w:color w:val="auto"/>
          <w:highlight w:val="none"/>
        </w:rPr>
      </w:pPr>
      <w:r>
        <w:rPr>
          <w:color w:val="auto"/>
          <w:highlight w:val="none"/>
        </w:rPr>
        <w:t>在合同订立及履行过程中形成的与合同有关的文件均构成合同文件组成部分，并根据其性质确定优先解释顺序。</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1.6 图纸和承包人文件</w:t>
      </w:r>
      <w:r>
        <w:rPr>
          <w:rFonts w:hint="eastAsia" w:ascii="宋体" w:cs="宋体"/>
          <w:color w:val="auto"/>
          <w:szCs w:val="21"/>
          <w:highlight w:val="none"/>
        </w:rPr>
        <w:tab/>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 xml:space="preserve">1.6.1 </w:t>
      </w:r>
      <w:r>
        <w:rPr>
          <w:rFonts w:hint="eastAsia" w:ascii="宋体" w:hAnsi="宋体" w:cs="宋体"/>
          <w:color w:val="auto"/>
          <w:highlight w:val="none"/>
        </w:rPr>
        <w:t>图纸的提供和交底</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发包人向承包人提供图纸的期限：</w:t>
      </w:r>
      <w:r>
        <w:rPr>
          <w:rFonts w:hint="eastAsia" w:ascii="宋体" w:cs="宋体"/>
          <w:color w:val="auto"/>
          <w:szCs w:val="21"/>
          <w:highlight w:val="none"/>
          <w:u w:val="single"/>
        </w:rPr>
        <w:t xml:space="preserve"> 开工前14天</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发包人向承包人提供图纸的数量：</w:t>
      </w:r>
      <w:r>
        <w:rPr>
          <w:rFonts w:hint="eastAsia" w:ascii="宋体" w:cs="宋体"/>
          <w:color w:val="auto"/>
          <w:szCs w:val="21"/>
          <w:highlight w:val="none"/>
          <w:u w:val="single"/>
        </w:rPr>
        <w:t xml:space="preserve">3份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发包人向承包人提供图纸的内容：</w:t>
      </w:r>
      <w:r>
        <w:rPr>
          <w:rFonts w:hint="eastAsia" w:ascii="宋体" w:cs="宋体"/>
          <w:color w:val="auto"/>
          <w:szCs w:val="21"/>
          <w:highlight w:val="none"/>
          <w:u w:val="single"/>
        </w:rPr>
        <w:t>全套施工图 </w:t>
      </w:r>
      <w:r>
        <w:rPr>
          <w:rFonts w:hint="eastAsia" w:ascii="宋体" w:cs="宋体"/>
          <w:color w:val="auto"/>
          <w:szCs w:val="21"/>
          <w:highlight w:val="none"/>
        </w:rPr>
        <w:t>。</w:t>
      </w:r>
    </w:p>
    <w:p>
      <w:pPr>
        <w:snapToGrid w:val="0"/>
        <w:spacing w:line="440" w:lineRule="exact"/>
        <w:ind w:firstLine="420" w:firstLineChars="200"/>
        <w:rPr>
          <w:rFonts w:hint="eastAsia" w:ascii="宋体" w:eastAsia="宋体" w:cs="宋体"/>
          <w:color w:val="auto"/>
          <w:szCs w:val="21"/>
          <w:highlight w:val="none"/>
          <w:lang w:eastAsia="zh-CN"/>
        </w:rPr>
      </w:pPr>
      <w:r>
        <w:rPr>
          <w:rFonts w:hint="eastAsia" w:ascii="宋体" w:cs="宋体"/>
          <w:color w:val="auto"/>
          <w:szCs w:val="21"/>
          <w:highlight w:val="none"/>
        </w:rPr>
        <w:t>1.6.4 承包人文件</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需要由承包人提供的文件，包括：</w:t>
      </w:r>
      <w:r>
        <w:rPr>
          <w:rFonts w:hint="eastAsia" w:ascii="宋体" w:cs="宋体"/>
          <w:color w:val="auto"/>
          <w:szCs w:val="21"/>
          <w:highlight w:val="none"/>
          <w:u w:val="single"/>
        </w:rPr>
        <w:t>包括但不限于项目部人员证书（在领取中</w:t>
      </w:r>
      <w:r>
        <w:rPr>
          <w:rFonts w:hint="eastAsia" w:ascii="宋体" w:cs="宋体"/>
          <w:color w:val="auto"/>
          <w:szCs w:val="21"/>
          <w:highlight w:val="none"/>
          <w:u w:val="single"/>
          <w:lang w:val="en-US" w:eastAsia="zh-CN"/>
        </w:rPr>
        <w:t>标</w:t>
      </w:r>
      <w:r>
        <w:rPr>
          <w:rFonts w:hint="eastAsia" w:ascii="宋体" w:cs="宋体"/>
          <w:color w:val="auto"/>
          <w:szCs w:val="21"/>
          <w:highlight w:val="none"/>
          <w:u w:val="single"/>
        </w:rPr>
        <w:t xml:space="preserve">通知书前）、项目部任命文、实施性施工组织设计等  </w:t>
      </w:r>
      <w:r>
        <w:rPr>
          <w:rFonts w:hint="eastAsia" w:ascii="宋体" w:cs="宋体"/>
          <w:color w:val="auto"/>
          <w:szCs w:val="21"/>
          <w:highlight w:val="none"/>
        </w:rPr>
        <w:t>；</w:t>
      </w:r>
    </w:p>
    <w:p>
      <w:pPr>
        <w:snapToGrid w:val="0"/>
        <w:spacing w:line="440" w:lineRule="exact"/>
        <w:ind w:firstLine="420" w:firstLineChars="200"/>
        <w:rPr>
          <w:rFonts w:hint="eastAsia" w:ascii="宋体" w:cs="宋体"/>
          <w:strike w:val="0"/>
          <w:dstrike w:val="0"/>
          <w:color w:val="auto"/>
          <w:szCs w:val="21"/>
          <w:highlight w:val="none"/>
        </w:rPr>
      </w:pPr>
      <w:r>
        <w:rPr>
          <w:rFonts w:hint="eastAsia" w:ascii="宋体" w:cs="宋体"/>
          <w:strike w:val="0"/>
          <w:dstrike w:val="0"/>
          <w:color w:val="auto"/>
          <w:szCs w:val="21"/>
          <w:highlight w:val="none"/>
        </w:rPr>
        <w:t>承包人提供的文件的期限为：</w:t>
      </w:r>
      <w:r>
        <w:rPr>
          <w:rFonts w:hint="eastAsia" w:ascii="宋体" w:cs="宋体"/>
          <w:strike w:val="0"/>
          <w:dstrike w:val="0"/>
          <w:color w:val="auto"/>
          <w:szCs w:val="21"/>
          <w:highlight w:val="none"/>
          <w:u w:val="single"/>
        </w:rPr>
        <w:t></w:t>
      </w:r>
      <w:r>
        <w:rPr>
          <w:rFonts w:hint="eastAsia" w:ascii="宋体" w:cs="宋体"/>
          <w:strike w:val="0"/>
          <w:dstrike w:val="0"/>
          <w:color w:val="auto"/>
          <w:szCs w:val="21"/>
          <w:highlight w:val="none"/>
          <w:u w:val="single"/>
          <w:lang w:val="en-US" w:eastAsia="zh-CN"/>
        </w:rPr>
        <w:t>进场前7日内</w:t>
      </w:r>
      <w:r>
        <w:rPr>
          <w:rFonts w:hint="eastAsia" w:ascii="宋体" w:cs="宋体"/>
          <w:strike w:val="0"/>
          <w:dstrike w:val="0"/>
          <w:color w:val="auto"/>
          <w:szCs w:val="21"/>
          <w:highlight w:val="none"/>
          <w:u w:val="single"/>
        </w:rPr>
        <w:t xml:space="preserve">   </w:t>
      </w:r>
      <w:r>
        <w:rPr>
          <w:rFonts w:hint="eastAsia" w:ascii="宋体" w:cs="宋体"/>
          <w:strike w:val="0"/>
          <w:dstrike w:val="0"/>
          <w:color w:val="auto"/>
          <w:szCs w:val="21"/>
          <w:highlight w:val="none"/>
        </w:rPr>
        <w:t>；</w:t>
      </w:r>
    </w:p>
    <w:p>
      <w:pPr>
        <w:snapToGrid w:val="0"/>
        <w:spacing w:line="440" w:lineRule="exact"/>
        <w:ind w:firstLine="420" w:firstLineChars="200"/>
        <w:rPr>
          <w:rFonts w:hint="eastAsia" w:ascii="宋体" w:cs="宋体"/>
          <w:strike w:val="0"/>
          <w:dstrike w:val="0"/>
          <w:color w:val="auto"/>
          <w:szCs w:val="21"/>
          <w:highlight w:val="none"/>
        </w:rPr>
      </w:pPr>
      <w:r>
        <w:rPr>
          <w:rFonts w:hint="eastAsia" w:ascii="宋体" w:cs="宋体"/>
          <w:strike w:val="0"/>
          <w:dstrike w:val="0"/>
          <w:color w:val="auto"/>
          <w:szCs w:val="21"/>
          <w:highlight w:val="none"/>
        </w:rPr>
        <w:t>承包人提供的文件的数量为：</w:t>
      </w:r>
      <w:r>
        <w:rPr>
          <w:rFonts w:hint="eastAsia" w:ascii="宋体" w:cs="宋体"/>
          <w:strike w:val="0"/>
          <w:dstrike w:val="0"/>
          <w:color w:val="auto"/>
          <w:szCs w:val="21"/>
          <w:highlight w:val="none"/>
          <w:u w:val="single"/>
        </w:rPr>
        <w:t xml:space="preserve"> </w:t>
      </w:r>
      <w:r>
        <w:rPr>
          <w:rFonts w:hint="eastAsia" w:ascii="宋体" w:cs="宋体"/>
          <w:strike w:val="0"/>
          <w:dstrike w:val="0"/>
          <w:color w:val="auto"/>
          <w:szCs w:val="21"/>
          <w:highlight w:val="none"/>
          <w:u w:val="single"/>
          <w:lang w:val="en-US" w:eastAsia="zh-CN"/>
        </w:rPr>
        <w:t>一份</w:t>
      </w:r>
      <w:r>
        <w:rPr>
          <w:rFonts w:hint="eastAsia" w:ascii="宋体" w:cs="宋体"/>
          <w:strike w:val="0"/>
          <w:dstrike w:val="0"/>
          <w:color w:val="auto"/>
          <w:szCs w:val="21"/>
          <w:highlight w:val="none"/>
          <w:u w:val="single"/>
        </w:rPr>
        <w:t xml:space="preserve">  </w:t>
      </w:r>
      <w:r>
        <w:rPr>
          <w:rFonts w:hint="eastAsia" w:ascii="宋体" w:cs="宋体"/>
          <w:strike w:val="0"/>
          <w:dstrike w:val="0"/>
          <w:color w:val="auto"/>
          <w:szCs w:val="21"/>
          <w:highlight w:val="none"/>
        </w:rPr>
        <w:t>；</w:t>
      </w:r>
    </w:p>
    <w:p>
      <w:pPr>
        <w:snapToGrid w:val="0"/>
        <w:spacing w:line="440" w:lineRule="exact"/>
        <w:ind w:firstLine="420" w:firstLineChars="200"/>
        <w:rPr>
          <w:rFonts w:hint="eastAsia" w:ascii="宋体" w:cs="宋体"/>
          <w:strike w:val="0"/>
          <w:dstrike w:val="0"/>
          <w:color w:val="auto"/>
          <w:szCs w:val="21"/>
          <w:highlight w:val="none"/>
        </w:rPr>
      </w:pPr>
      <w:r>
        <w:rPr>
          <w:rFonts w:hint="eastAsia" w:ascii="宋体" w:cs="宋体"/>
          <w:strike w:val="0"/>
          <w:dstrike w:val="0"/>
          <w:color w:val="auto"/>
          <w:szCs w:val="21"/>
          <w:highlight w:val="none"/>
        </w:rPr>
        <w:t>承包人提供的文件的形式为：</w:t>
      </w:r>
      <w:r>
        <w:rPr>
          <w:rFonts w:hint="eastAsia" w:ascii="宋体" w:cs="宋体"/>
          <w:strike w:val="0"/>
          <w:dstrike w:val="0"/>
          <w:color w:val="auto"/>
          <w:szCs w:val="21"/>
          <w:highlight w:val="none"/>
          <w:u w:val="single"/>
        </w:rPr>
        <w:t></w:t>
      </w:r>
      <w:r>
        <w:rPr>
          <w:rFonts w:hint="eastAsia" w:ascii="宋体" w:cs="宋体"/>
          <w:strike w:val="0"/>
          <w:dstrike w:val="0"/>
          <w:color w:val="auto"/>
          <w:szCs w:val="21"/>
          <w:highlight w:val="none"/>
          <w:u w:val="single"/>
          <w:lang w:val="en-US" w:eastAsia="zh-CN"/>
        </w:rPr>
        <w:t>电子版及纸质版</w:t>
      </w:r>
      <w:r>
        <w:rPr>
          <w:rFonts w:hint="eastAsia" w:ascii="宋体" w:cs="宋体"/>
          <w:strike w:val="0"/>
          <w:dstrike w:val="0"/>
          <w:color w:val="auto"/>
          <w:szCs w:val="21"/>
          <w:highlight w:val="none"/>
          <w:u w:val="single"/>
        </w:rPr>
        <w:t></w:t>
      </w:r>
      <w:r>
        <w:rPr>
          <w:rFonts w:hint="eastAsia" w:ascii="宋体" w:cs="宋体"/>
          <w:strike w:val="0"/>
          <w:dstrike w:val="0"/>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发包人审批承包人文件的期限：</w:t>
      </w:r>
      <w:r>
        <w:rPr>
          <w:rFonts w:hint="eastAsia" w:ascii="宋体" w:cs="宋体"/>
          <w:color w:val="auto"/>
          <w:szCs w:val="21"/>
          <w:highlight w:val="none"/>
          <w:u w:val="single"/>
        </w:rPr>
        <w:t>  7天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1.6.5 图纸和承包人文件的保管</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关于图纸和承包人文件的保管的约定：</w:t>
      </w:r>
      <w:r>
        <w:rPr>
          <w:rFonts w:hint="eastAsia" w:ascii="宋体" w:cs="宋体"/>
          <w:color w:val="auto"/>
          <w:szCs w:val="21"/>
          <w:highlight w:val="none"/>
          <w:u w:val="single"/>
        </w:rPr>
        <w:t>除专用合同条款另有约定外，承包人应在施工现场另外保存一套完整的图纸和承包人文件，供发包人、</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及有关人员进行工程检查时使用</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1.7 联络</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1.7.1发包人和承包人应当在</w:t>
      </w:r>
      <w:r>
        <w:rPr>
          <w:rFonts w:hint="eastAsia" w:ascii="宋体" w:cs="宋体"/>
          <w:color w:val="auto"/>
          <w:szCs w:val="21"/>
          <w:highlight w:val="none"/>
          <w:u w:val="single"/>
        </w:rPr>
        <w:t xml:space="preserve">7天  </w:t>
      </w:r>
      <w:r>
        <w:rPr>
          <w:rFonts w:hint="eastAsia" w:ascii="宋体" w:cs="宋体"/>
          <w:color w:val="auto"/>
          <w:kern w:val="0"/>
          <w:szCs w:val="21"/>
          <w:highlight w:val="none"/>
        </w:rPr>
        <w:t>天内将与合同有关的通知、批准、证明、证书、指示、指令、要求、请求、同意、意见、确定和决定等书面函件送达对方当事人。</w:t>
      </w:r>
    </w:p>
    <w:p>
      <w:pPr>
        <w:snapToGrid w:val="0"/>
        <w:spacing w:line="440" w:lineRule="exact"/>
        <w:ind w:firstLine="420" w:firstLineChars="200"/>
        <w:rPr>
          <w:rFonts w:hint="eastAsia" w:ascii="宋体" w:cs="宋体"/>
          <w:color w:val="auto"/>
          <w:kern w:val="0"/>
          <w:szCs w:val="21"/>
          <w:highlight w:val="none"/>
        </w:rPr>
      </w:pPr>
      <w:r>
        <w:rPr>
          <w:rFonts w:hint="eastAsia" w:ascii="宋体" w:cs="宋体"/>
          <w:color w:val="auto"/>
          <w:kern w:val="0"/>
          <w:szCs w:val="21"/>
          <w:highlight w:val="none"/>
        </w:rPr>
        <w:t>1.7.2 发包人接收文件的地点：</w:t>
      </w:r>
      <w:r>
        <w:rPr>
          <w:rFonts w:hint="eastAsia" w:ascii="宋体" w:cs="宋体"/>
          <w:color w:val="auto"/>
          <w:szCs w:val="21"/>
          <w:highlight w:val="none"/>
          <w:u w:val="single"/>
        </w:rPr>
        <w:t>滁州市皖能兴滁环境科技有限公司或项目部</w:t>
      </w:r>
      <w:r>
        <w:rPr>
          <w:rFonts w:hint="eastAsia" w:ascii="宋体" w:cs="宋体"/>
          <w:color w:val="auto"/>
          <w:kern w:val="0"/>
          <w:szCs w:val="21"/>
          <w:highlight w:val="none"/>
        </w:rPr>
        <w:t>；</w:t>
      </w:r>
    </w:p>
    <w:p>
      <w:pPr>
        <w:snapToGrid w:val="0"/>
        <w:spacing w:line="440" w:lineRule="exact"/>
        <w:ind w:firstLine="420" w:firstLineChars="200"/>
        <w:rPr>
          <w:rFonts w:hint="eastAsia" w:ascii="宋体" w:cs="宋体"/>
          <w:color w:val="auto"/>
          <w:kern w:val="0"/>
          <w:szCs w:val="21"/>
          <w:highlight w:val="none"/>
        </w:rPr>
      </w:pPr>
      <w:r>
        <w:rPr>
          <w:rFonts w:hint="eastAsia" w:ascii="宋体" w:cs="宋体"/>
          <w:color w:val="auto"/>
          <w:kern w:val="0"/>
          <w:szCs w:val="21"/>
          <w:highlight w:val="none"/>
        </w:rPr>
        <w:t>发包人指定的接收人为：</w:t>
      </w:r>
      <w:r>
        <w:rPr>
          <w:rFonts w:hint="eastAsia" w:ascii="宋体" w:cs="宋体"/>
          <w:color w:val="auto"/>
          <w:szCs w:val="21"/>
          <w:highlight w:val="none"/>
          <w:u w:val="single"/>
        </w:rPr>
        <w:t>发包人代表</w:t>
      </w:r>
      <w:r>
        <w:rPr>
          <w:rFonts w:hint="eastAsia" w:ascii="宋体" w:cs="宋体"/>
          <w:color w:val="auto"/>
          <w:kern w:val="0"/>
          <w:szCs w:val="21"/>
          <w:highlight w:val="none"/>
        </w:rPr>
        <w:t>；</w:t>
      </w:r>
    </w:p>
    <w:p>
      <w:pPr>
        <w:snapToGrid w:val="0"/>
        <w:spacing w:line="440" w:lineRule="exact"/>
        <w:ind w:firstLine="420" w:firstLineChars="200"/>
        <w:rPr>
          <w:rFonts w:hint="eastAsia" w:ascii="宋体" w:cs="宋体"/>
          <w:color w:val="auto"/>
          <w:kern w:val="0"/>
          <w:szCs w:val="21"/>
          <w:highlight w:val="none"/>
        </w:rPr>
      </w:pPr>
      <w:r>
        <w:rPr>
          <w:rFonts w:hint="eastAsia" w:ascii="宋体" w:cs="宋体"/>
          <w:color w:val="auto"/>
          <w:kern w:val="0"/>
          <w:szCs w:val="21"/>
          <w:highlight w:val="none"/>
        </w:rPr>
        <w:t>承包人接收文件的地点：</w:t>
      </w:r>
      <w:r>
        <w:rPr>
          <w:rFonts w:hint="eastAsia" w:ascii="宋体" w:cs="宋体"/>
          <w:color w:val="auto"/>
          <w:szCs w:val="21"/>
          <w:highlight w:val="none"/>
          <w:u w:val="single"/>
        </w:rPr>
        <w:t>滁州市皖能兴滁环境科技有限公司或项目部</w:t>
      </w:r>
      <w:r>
        <w:rPr>
          <w:rFonts w:hint="eastAsia" w:ascii="宋体" w:cs="宋体"/>
          <w:color w:val="auto"/>
          <w:kern w:val="0"/>
          <w:szCs w:val="21"/>
          <w:highlight w:val="none"/>
        </w:rPr>
        <w:t>；</w:t>
      </w:r>
    </w:p>
    <w:p>
      <w:pPr>
        <w:snapToGrid w:val="0"/>
        <w:spacing w:line="440" w:lineRule="exact"/>
        <w:ind w:firstLine="420" w:firstLineChars="200"/>
        <w:rPr>
          <w:rFonts w:hint="eastAsia" w:ascii="宋体" w:cs="宋体"/>
          <w:color w:val="auto"/>
          <w:kern w:val="0"/>
          <w:szCs w:val="21"/>
          <w:highlight w:val="none"/>
        </w:rPr>
      </w:pPr>
      <w:r>
        <w:rPr>
          <w:rFonts w:hint="eastAsia" w:ascii="宋体" w:cs="宋体"/>
          <w:color w:val="auto"/>
          <w:kern w:val="0"/>
          <w:szCs w:val="21"/>
          <w:highlight w:val="none"/>
        </w:rPr>
        <w:t>承包人指定的接收人为：</w:t>
      </w:r>
      <w:r>
        <w:rPr>
          <w:rFonts w:hint="eastAsia" w:ascii="宋体" w:cs="宋体"/>
          <w:color w:val="auto"/>
          <w:szCs w:val="21"/>
          <w:highlight w:val="none"/>
          <w:u w:val="single"/>
        </w:rPr>
        <w:t>项目负责人</w:t>
      </w:r>
      <w:r>
        <w:rPr>
          <w:rFonts w:hint="eastAsia" w:ascii="宋体" w:cs="宋体"/>
          <w:color w:val="auto"/>
          <w:kern w:val="0"/>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1.10 交通运输</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1.10.1 出入现场的权利</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关于出入现场的权利的约定：</w:t>
      </w:r>
      <w:r>
        <w:rPr>
          <w:rFonts w:hint="eastAsia" w:ascii="宋体" w:cs="宋体"/>
          <w:color w:val="auto"/>
          <w:szCs w:val="21"/>
          <w:highlight w:val="none"/>
          <w:u w:val="single"/>
        </w:rPr>
        <w:t>发包人应根据施工需要，负责取得出入施工现场所需的批准手续和全部权利，以及取得因施工所需修建道路、桥梁以及其他基础设施的权利，并承担相关手续费用和建设费用，若该费用已包含在本项目发包范围，则由承包人自行解决并承担费用。承包人应协助发包人办理修建场内外道路、桥梁以及其他基础设施的手续。</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u w:val="single"/>
        </w:rPr>
        <w:t>承包人应在订立合同前查勘施工现场，并根据工程规模及技术参数合理预见工程施工所需的进出施工现场的方式、手段、路径等。因承包人未合理预见所增加的费用和（或）延误的工期由承包人承担。</w:t>
      </w:r>
    </w:p>
    <w:p>
      <w:pPr>
        <w:widowControl/>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1.10.3 场内交通</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kern w:val="0"/>
          <w:szCs w:val="21"/>
          <w:highlight w:val="none"/>
        </w:rPr>
        <w:t>关于场外交通和场内交通的边界的约定：</w:t>
      </w:r>
      <w:r>
        <w:rPr>
          <w:rFonts w:hint="eastAsia" w:ascii="宋体" w:cs="宋体"/>
          <w:color w:val="auto"/>
          <w:szCs w:val="21"/>
          <w:highlight w:val="none"/>
          <w:u w:val="single"/>
        </w:rPr>
        <w:t>场内交通边界现场确定</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关于发包人向承包人免费提供满足工程施工需要的场内道路和交通设施的约定：</w:t>
      </w:r>
      <w:r>
        <w:rPr>
          <w:rFonts w:hint="eastAsia" w:ascii="宋体" w:cs="宋体"/>
          <w:color w:val="auto"/>
          <w:szCs w:val="21"/>
          <w:highlight w:val="none"/>
          <w:u w:val="single"/>
        </w:rPr>
        <w:t xml:space="preserve">自行踏勘，自行解决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1.10.4超大件和超重件的运输</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运输超大件或超重件所需的道路和桥梁临时加固改造费用和其他有关费用由</w:t>
      </w:r>
      <w:r>
        <w:rPr>
          <w:rFonts w:hint="eastAsia" w:ascii="宋体" w:cs="宋体"/>
          <w:color w:val="auto"/>
          <w:szCs w:val="21"/>
          <w:highlight w:val="none"/>
          <w:u w:val="single"/>
        </w:rPr>
        <w:t xml:space="preserve">  承包方 </w:t>
      </w:r>
      <w:r>
        <w:rPr>
          <w:rFonts w:hint="eastAsia" w:ascii="宋体" w:cs="宋体"/>
          <w:color w:val="auto"/>
          <w:szCs w:val="21"/>
          <w:highlight w:val="none"/>
        </w:rPr>
        <w:t>承担。</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1.11 知识产权</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cs="宋体"/>
          <w:color w:val="auto"/>
          <w:szCs w:val="21"/>
          <w:highlight w:val="none"/>
          <w:u w:val="single"/>
        </w:rPr>
        <w:t xml:space="preserve">发包人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关于发包人提供的上述文件的使用限制的要求：</w:t>
      </w:r>
      <w:r>
        <w:rPr>
          <w:rFonts w:hint="eastAsia" w:ascii="宋体" w:cs="宋体"/>
          <w:color w:val="auto"/>
          <w:szCs w:val="21"/>
          <w:highlight w:val="none"/>
          <w:u w:val="single"/>
        </w:rPr>
        <w:t>承包人可以为实现合同目的而复制、使用此类文件，但不能用于与合同无关的其他事项。未经发包人书面同意，承包人不得为了合同以外的目的而复制、使用上述文件或将之提供给任何第三方。</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1.11.2 关于承包人为实施工程所编制文件的著作权的归属：</w:t>
      </w:r>
      <w:r>
        <w:rPr>
          <w:rFonts w:hint="eastAsia" w:ascii="宋体" w:cs="宋体"/>
          <w:color w:val="auto"/>
          <w:szCs w:val="21"/>
          <w:highlight w:val="none"/>
          <w:u w:val="single"/>
        </w:rPr>
        <w:t xml:space="preserve"> 发包人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关于承包人提供的上述文件的使用限制的要求：</w:t>
      </w:r>
      <w:r>
        <w:rPr>
          <w:rFonts w:hint="eastAsia" w:ascii="宋体" w:cs="宋体"/>
          <w:color w:val="auto"/>
          <w:szCs w:val="21"/>
          <w:highlight w:val="none"/>
          <w:u w:val="single"/>
        </w:rPr>
        <w:t xml:space="preserve">承包人可因实施工程的运行、调试、维修、改造等目的而复制、使用此类文件，但不能用于与合同无关的其他事项。未经发包人书面同意，承包人不得为了合同以外的目的而复制、使用上述文件或将之提供给任何第三方。 </w:t>
      </w:r>
    </w:p>
    <w:p>
      <w:pPr>
        <w:snapToGrid w:val="0"/>
        <w:spacing w:line="440" w:lineRule="exact"/>
        <w:ind w:firstLine="420" w:firstLineChars="200"/>
        <w:rPr>
          <w:rFonts w:hint="eastAsia" w:ascii="宋体" w:cs="宋体"/>
          <w:color w:val="auto"/>
          <w:kern w:val="0"/>
          <w:szCs w:val="21"/>
          <w:highlight w:val="none"/>
        </w:rPr>
      </w:pPr>
      <w:r>
        <w:rPr>
          <w:rFonts w:hint="eastAsia" w:ascii="宋体" w:cs="宋体"/>
          <w:color w:val="auto"/>
          <w:szCs w:val="21"/>
          <w:highlight w:val="none"/>
        </w:rPr>
        <w:t>1.11.4 承包人在施工过程中所采用的专利、专有技术、技术秘密的使用费的承担方式：</w:t>
      </w:r>
      <w:r>
        <w:rPr>
          <w:rFonts w:hint="eastAsia" w:ascii="宋体" w:cs="宋体"/>
          <w:color w:val="auto"/>
          <w:szCs w:val="21"/>
          <w:highlight w:val="none"/>
          <w:u w:val="single"/>
        </w:rPr>
        <w:t>该费用已包含在签约合同价中。</w:t>
      </w:r>
    </w:p>
    <w:p>
      <w:pPr>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1.13工程量清单错误的修正</w:t>
      </w:r>
    </w:p>
    <w:p>
      <w:pPr>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出现工程量清单错误时，是否调整合同价格：</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440" w:lineRule="exact"/>
        <w:ind w:firstLine="420" w:firstLineChars="200"/>
        <w:rPr>
          <w:rFonts w:hint="eastAsia" w:ascii="宋体" w:hAnsi="宋体" w:cs="宋体"/>
          <w:b/>
          <w:bCs/>
          <w:color w:val="auto"/>
          <w:szCs w:val="21"/>
          <w:highlight w:val="none"/>
          <w:u w:val="single"/>
        </w:rPr>
      </w:pPr>
      <w:r>
        <w:rPr>
          <w:rFonts w:hint="eastAsia" w:ascii="宋体" w:hAnsi="宋体" w:cs="宋体"/>
          <w:color w:val="auto"/>
          <w:szCs w:val="21"/>
          <w:highlight w:val="none"/>
        </w:rPr>
        <w:t>允许调整合同价格的工程量偏差范围：</w:t>
      </w:r>
      <w:r>
        <w:rPr>
          <w:rFonts w:hint="eastAsia" w:ascii="宋体" w:hAnsi="宋体" w:cs="宋体"/>
          <w:b/>
          <w:bCs/>
          <w:color w:val="auto"/>
          <w:szCs w:val="21"/>
          <w:highlight w:val="none"/>
          <w:u w:val="single"/>
          <w:lang w:val="en-US" w:eastAsia="zh-CN"/>
        </w:rPr>
        <w:t xml:space="preserve"> 结算时，工程量调减，按实结算；工程量调增时，工程量增加10%以内的，工程量不予以调整，费用全部含在合同价中；工程量增加10%以上的，按实调整10%以上部分的工程量。结算单价按最高投标限价单价×投标让利幅度计算且结算单价不得</w:t>
      </w:r>
      <w:r>
        <w:rPr>
          <w:rFonts w:hint="eastAsia" w:ascii="宋体" w:hAnsi="宋体" w:eastAsia="宋体" w:cs="宋体"/>
          <w:b/>
          <w:bCs/>
          <w:color w:val="auto"/>
          <w:szCs w:val="21"/>
          <w:highlight w:val="none"/>
          <w:u w:val="single"/>
          <w:lang w:val="en-US" w:eastAsia="zh-CN"/>
        </w:rPr>
        <w:t xml:space="preserve">高于中标单价。（上述投标让利幅度为中标价/最高投标限价，其中中标价和最高投标限价均扣除暂列金额、暂估价及相应税金）   </w:t>
      </w:r>
      <w:r>
        <w:rPr>
          <w:rFonts w:hint="eastAsia" w:ascii="宋体" w:hAnsi="宋体" w:cs="宋体"/>
          <w:b/>
          <w:bCs/>
          <w:color w:val="auto"/>
          <w:szCs w:val="21"/>
          <w:highlight w:val="none"/>
          <w:u w:val="single"/>
        </w:rPr>
        <w:t>。</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2. 发包人</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2.2 发包人代表</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发包人代表：</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姓    名：</w:t>
      </w:r>
      <w:r>
        <w:rPr>
          <w:rFonts w:hint="eastAsia" w:ascii="宋体" w:cs="宋体"/>
          <w:color w:val="auto"/>
          <w:szCs w:val="21"/>
          <w:highlight w:val="none"/>
          <w:u w:val="single"/>
        </w:rPr>
        <w:t>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身份证号：</w:t>
      </w:r>
      <w:r>
        <w:rPr>
          <w:rFonts w:hint="eastAsia" w:ascii="宋体" w:cs="宋体"/>
          <w:color w:val="auto"/>
          <w:szCs w:val="21"/>
          <w:highlight w:val="none"/>
          <w:u w:val="single"/>
        </w:rPr>
        <w:t>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职    务：</w:t>
      </w:r>
      <w:r>
        <w:rPr>
          <w:rFonts w:hint="eastAsia" w:ascii="宋体" w:cs="宋体"/>
          <w:color w:val="auto"/>
          <w:szCs w:val="21"/>
          <w:highlight w:val="none"/>
          <w:u w:val="single"/>
        </w:rPr>
        <w:t>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联系电话：</w:t>
      </w:r>
      <w:r>
        <w:rPr>
          <w:rFonts w:hint="eastAsia" w:ascii="宋体" w:cs="宋体"/>
          <w:color w:val="auto"/>
          <w:szCs w:val="21"/>
          <w:highlight w:val="none"/>
          <w:u w:val="single"/>
        </w:rPr>
        <w:t>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电子信箱：</w:t>
      </w:r>
      <w:r>
        <w:rPr>
          <w:rFonts w:hint="eastAsia" w:ascii="宋体" w:cs="宋体"/>
          <w:color w:val="auto"/>
          <w:szCs w:val="21"/>
          <w:highlight w:val="none"/>
          <w:u w:val="single"/>
        </w:rPr>
        <w:t>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通信地址：</w:t>
      </w:r>
      <w:r>
        <w:rPr>
          <w:rFonts w:hint="eastAsia" w:ascii="宋体" w:cs="宋体"/>
          <w:color w:val="auto"/>
          <w:szCs w:val="21"/>
          <w:highlight w:val="none"/>
          <w:u w:val="single"/>
        </w:rPr>
        <w:t>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发包人对发包人代表的授权范围如下：</w:t>
      </w:r>
      <w:r>
        <w:rPr>
          <w:rFonts w:hint="eastAsia" w:ascii="宋体" w:cs="宋体"/>
          <w:color w:val="auto"/>
          <w:szCs w:val="21"/>
          <w:highlight w:val="none"/>
          <w:u w:val="single"/>
        </w:rPr>
        <w:t>施工组织设计和总进度计划的审批权和调整权；人员在岗、工程进度、质量、安全、环保的监督检查权和建议处罚权；工程款的初步审查权；第三方检测的委托权；主要材料的质量否决权；工程量的确认权；工程变更签证的审核权；可调价格材料的价格确认权；工程结算的审核权；合同的解释；等等。</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2.4 施工现场、施工条件和基础资料的提供</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2.4.1 提供施工现场</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关于发包人移交施工现场的期限要求：</w:t>
      </w:r>
      <w:r>
        <w:rPr>
          <w:rFonts w:hint="eastAsia" w:ascii="宋体" w:cs="宋体"/>
          <w:color w:val="auto"/>
          <w:szCs w:val="21"/>
          <w:highlight w:val="none"/>
          <w:u w:val="single"/>
        </w:rPr>
        <w:t>发包人应最迟于开工日期7天前向承包人移交施工现场。</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2.4.2 提供施工条件</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关于发包人应负责提供施工所需要的条件，包括：</w:t>
      </w:r>
      <w:r>
        <w:rPr>
          <w:rFonts w:hint="eastAsia" w:ascii="宋体" w:cs="宋体"/>
          <w:color w:val="auto"/>
          <w:szCs w:val="21"/>
          <w:highlight w:val="none"/>
          <w:u w:val="single"/>
        </w:rPr>
        <w:t>协调处理施工现场周围地下管线和邻近建筑物、构筑物、古树名木的保护工作，并承担相关费用。若上述费用已包含在本项目发包范围，则由承包人自行解决并承担费用。</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2.5 资金来源证明及支付担保</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发包人提供资金来源证明的期限要求：</w:t>
      </w:r>
      <w:r>
        <w:rPr>
          <w:rFonts w:hint="eastAsia" w:ascii="宋体" w:cs="宋体"/>
          <w:color w:val="auto"/>
          <w:szCs w:val="21"/>
          <w:highlight w:val="none"/>
          <w:u w:val="single"/>
        </w:rPr>
        <w:t></w:t>
      </w:r>
      <w:r>
        <w:rPr>
          <w:rFonts w:hint="eastAsia" w:ascii="宋体" w:cs="宋体"/>
          <w:color w:val="auto"/>
          <w:szCs w:val="21"/>
          <w:highlight w:val="none"/>
          <w:u w:val="single"/>
          <w:lang w:val="en-US" w:eastAsia="zh-CN"/>
        </w:rPr>
        <w:t>自筹</w:t>
      </w:r>
      <w:r>
        <w:rPr>
          <w:rFonts w:hint="eastAsia" w:ascii="宋体" w:cs="宋体"/>
          <w:color w:val="auto"/>
          <w:szCs w:val="21"/>
          <w:highlight w:val="none"/>
          <w:u w:val="single"/>
        </w:rPr>
        <w:t xml:space="preserve">资金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发包人是否提供支付担保：</w:t>
      </w:r>
      <w:r>
        <w:rPr>
          <w:rFonts w:hint="eastAsia" w:ascii="宋体" w:cs="宋体"/>
          <w:color w:val="auto"/>
          <w:szCs w:val="21"/>
          <w:highlight w:val="none"/>
          <w:u w:val="single"/>
        </w:rPr>
        <w:t xml:space="preserve">不提供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发包人提供支付担保的形式：</w:t>
      </w:r>
      <w:r>
        <w:rPr>
          <w:rFonts w:hint="eastAsia" w:ascii="宋体" w:cs="宋体"/>
          <w:color w:val="auto"/>
          <w:szCs w:val="21"/>
          <w:highlight w:val="none"/>
          <w:u w:val="single"/>
        </w:rPr>
        <w:t>无  </w:t>
      </w:r>
      <w:r>
        <w:rPr>
          <w:rFonts w:hint="eastAsia" w:ascii="宋体" w:cs="宋体"/>
          <w:color w:val="auto"/>
          <w:szCs w:val="21"/>
          <w:highlight w:val="none"/>
        </w:rPr>
        <w:t>。</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3. 承包人</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3.1 承包人的一般义务</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kern w:val="0"/>
          <w:szCs w:val="21"/>
          <w:highlight w:val="none"/>
        </w:rPr>
        <w:t>（9）</w:t>
      </w:r>
      <w:r>
        <w:rPr>
          <w:rFonts w:hint="eastAsia" w:ascii="宋体" w:cs="宋体"/>
          <w:color w:val="auto"/>
          <w:szCs w:val="21"/>
          <w:highlight w:val="none"/>
        </w:rPr>
        <w:t>承包人提交的竣工资料的内容：</w:t>
      </w:r>
      <w:r>
        <w:rPr>
          <w:rFonts w:hint="eastAsia" w:ascii="宋体" w:cs="宋体"/>
          <w:color w:val="auto"/>
          <w:szCs w:val="21"/>
          <w:highlight w:val="none"/>
          <w:u w:val="single"/>
        </w:rPr>
        <w:t xml:space="preserve">   按相关要求执行，包括但不限于竣工图、竣工报告、项目质检资料、结算资料等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承包人需要提交的竣工资料套数：</w:t>
      </w:r>
      <w:r>
        <w:rPr>
          <w:rFonts w:hint="eastAsia" w:ascii="宋体" w:cs="宋体"/>
          <w:color w:val="auto"/>
          <w:szCs w:val="21"/>
          <w:highlight w:val="none"/>
          <w:u w:val="single"/>
        </w:rPr>
        <w:t xml:space="preserve">      按相关要求执行，且不少于3套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承包人提交的竣工资料的费用承担：</w:t>
      </w:r>
      <w:r>
        <w:rPr>
          <w:rFonts w:hint="eastAsia" w:ascii="宋体" w:cs="宋体"/>
          <w:color w:val="auto"/>
          <w:szCs w:val="21"/>
          <w:highlight w:val="none"/>
          <w:u w:val="single"/>
        </w:rPr>
        <w:t xml:space="preserve">   承包人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承包人提交的竣工资料移交时间：</w:t>
      </w:r>
      <w:r>
        <w:rPr>
          <w:rFonts w:hint="eastAsia" w:ascii="宋体" w:cs="宋体"/>
          <w:color w:val="auto"/>
          <w:szCs w:val="21"/>
          <w:highlight w:val="none"/>
          <w:u w:val="single"/>
        </w:rPr>
        <w:t xml:space="preserve">     竣工验收合格后15日内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承包人提交的竣工资料形式要求：</w:t>
      </w:r>
      <w:r>
        <w:rPr>
          <w:rFonts w:hint="eastAsia" w:ascii="宋体" w:cs="宋体"/>
          <w:color w:val="auto"/>
          <w:szCs w:val="21"/>
          <w:highlight w:val="none"/>
          <w:u w:val="single"/>
        </w:rPr>
        <w:t xml:space="preserve">     纸质及电子形式   </w:t>
      </w:r>
      <w:r>
        <w:rPr>
          <w:rFonts w:hint="eastAsia" w:ascii="宋体" w:cs="宋体"/>
          <w:color w:val="auto"/>
          <w:szCs w:val="21"/>
          <w:highlight w:val="none"/>
        </w:rPr>
        <w:t>。</w:t>
      </w:r>
    </w:p>
    <w:p>
      <w:pPr>
        <w:numPr>
          <w:ilvl w:val="0"/>
          <w:numId w:val="3"/>
        </w:numPr>
        <w:spacing w:line="440" w:lineRule="exact"/>
        <w:rPr>
          <w:rFonts w:hint="eastAsia" w:ascii="宋体" w:cs="宋体"/>
          <w:color w:val="auto"/>
          <w:szCs w:val="21"/>
          <w:highlight w:val="none"/>
        </w:rPr>
      </w:pPr>
      <w:r>
        <w:rPr>
          <w:rFonts w:hint="eastAsia" w:ascii="宋体" w:cs="宋体"/>
          <w:color w:val="auto"/>
          <w:kern w:val="0"/>
          <w:szCs w:val="21"/>
          <w:highlight w:val="none"/>
        </w:rPr>
        <w:t>承包人应履行的其他义务：</w:t>
      </w:r>
      <w:r>
        <w:rPr>
          <w:rFonts w:hint="eastAsia" w:ascii="宋体" w:cs="宋体"/>
          <w:color w:val="auto"/>
          <w:szCs w:val="21"/>
          <w:highlight w:val="none"/>
          <w:u w:val="single"/>
        </w:rPr>
        <w:t>①工程竣工半年(含)内完成竣工结算的；②无合同纠纷等原因拖欠农民工工资、材料款，出现群访及时处理；③质量无缺陷，及时整改到位，处理及时；④施工现场服从调度或工程进度不超过合同工期或按合同期限按时移交的；⑤月工程量进度及时完成；⑥按规定提供工程资料并及时归档的；</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3.2 项目经理</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kern w:val="0"/>
          <w:szCs w:val="21"/>
          <w:highlight w:val="none"/>
        </w:rPr>
        <w:t xml:space="preserve">3.2.1 </w:t>
      </w:r>
      <w:r>
        <w:rPr>
          <w:rFonts w:hint="eastAsia" w:ascii="宋体" w:cs="宋体"/>
          <w:color w:val="auto"/>
          <w:szCs w:val="21"/>
          <w:highlight w:val="none"/>
        </w:rPr>
        <w:t>项目经理：</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姓    名：</w:t>
      </w:r>
      <w:r>
        <w:rPr>
          <w:rFonts w:hint="eastAsia" w:ascii="宋体" w:cs="宋体"/>
          <w:color w:val="auto"/>
          <w:szCs w:val="21"/>
          <w:highlight w:val="none"/>
          <w:u w:val="single"/>
        </w:rPr>
        <w:t>        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身份证号：</w:t>
      </w:r>
      <w:r>
        <w:rPr>
          <w:rFonts w:hint="eastAsia" w:ascii="宋体" w:cs="宋体"/>
          <w:color w:val="auto"/>
          <w:szCs w:val="21"/>
          <w:highlight w:val="none"/>
          <w:u w:val="single"/>
        </w:rPr>
        <w:t>        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建造师执业资格等级：</w:t>
      </w:r>
      <w:r>
        <w:rPr>
          <w:rFonts w:hint="eastAsia" w:ascii="宋体" w:cs="宋体"/>
          <w:color w:val="auto"/>
          <w:szCs w:val="21"/>
          <w:highlight w:val="none"/>
          <w:u w:val="single"/>
        </w:rPr>
        <w:t>  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建造师注册证书号：</w:t>
      </w:r>
      <w:r>
        <w:rPr>
          <w:rFonts w:hint="eastAsia" w:ascii="宋体" w:cs="宋体"/>
          <w:color w:val="auto"/>
          <w:szCs w:val="21"/>
          <w:highlight w:val="none"/>
          <w:u w:val="single"/>
        </w:rPr>
        <w:t>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建造师执业印章号：</w:t>
      </w:r>
      <w:r>
        <w:rPr>
          <w:rFonts w:hint="eastAsia" w:ascii="宋体" w:cs="宋体"/>
          <w:color w:val="auto"/>
          <w:szCs w:val="21"/>
          <w:highlight w:val="none"/>
          <w:u w:val="single"/>
        </w:rPr>
        <w:t>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安全生产考核合格证书号：</w:t>
      </w:r>
      <w:r>
        <w:rPr>
          <w:rFonts w:hint="eastAsia" w:ascii="宋体" w:cs="宋体"/>
          <w:color w:val="auto"/>
          <w:szCs w:val="21"/>
          <w:highlight w:val="none"/>
          <w:u w:val="single"/>
        </w:rPr>
        <w:t>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联系电话：</w:t>
      </w:r>
      <w:r>
        <w:rPr>
          <w:rFonts w:hint="eastAsia" w:ascii="宋体" w:cs="宋体"/>
          <w:color w:val="auto"/>
          <w:szCs w:val="21"/>
          <w:highlight w:val="none"/>
          <w:u w:val="single"/>
        </w:rPr>
        <w:t>        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电子信箱：</w:t>
      </w:r>
      <w:r>
        <w:rPr>
          <w:rFonts w:hint="eastAsia" w:ascii="宋体" w:cs="宋体"/>
          <w:color w:val="auto"/>
          <w:szCs w:val="21"/>
          <w:highlight w:val="none"/>
          <w:u w:val="single"/>
        </w:rPr>
        <w:t>        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通信地址：</w:t>
      </w:r>
      <w:r>
        <w:rPr>
          <w:rFonts w:hint="eastAsia" w:ascii="宋体" w:cs="宋体"/>
          <w:color w:val="auto"/>
          <w:szCs w:val="21"/>
          <w:highlight w:val="none"/>
          <w:u w:val="single"/>
        </w:rPr>
        <w:t>        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承包人对项目负责人的授权范围如下：</w:t>
      </w:r>
      <w:r>
        <w:rPr>
          <w:rFonts w:hint="eastAsia" w:ascii="宋体" w:cs="宋体"/>
          <w:color w:val="auto"/>
          <w:szCs w:val="21"/>
          <w:highlight w:val="none"/>
          <w:u w:val="single"/>
        </w:rPr>
        <w:t xml:space="preserve">由承包人明确授权范围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关于项目负责人每月在施工现场的时间要求：</w:t>
      </w:r>
      <w:r>
        <w:rPr>
          <w:rFonts w:hint="eastAsia" w:ascii="宋体" w:cs="宋体"/>
          <w:color w:val="auto"/>
          <w:szCs w:val="21"/>
          <w:highlight w:val="none"/>
          <w:u w:val="single"/>
        </w:rPr>
        <w:t>项目经理每月在岗时间不得少于20天，施工现场其他管理人员每月在岗时间不得少于22天。</w:t>
      </w:r>
    </w:p>
    <w:p>
      <w:pPr>
        <w:snapToGrid w:val="0"/>
        <w:spacing w:line="440" w:lineRule="exact"/>
        <w:ind w:firstLine="420" w:firstLineChars="200"/>
        <w:rPr>
          <w:rFonts w:hint="eastAsia" w:ascii="宋体" w:cs="宋体"/>
          <w:color w:val="auto"/>
          <w:kern w:val="0"/>
          <w:szCs w:val="21"/>
          <w:highlight w:val="none"/>
        </w:rPr>
      </w:pPr>
      <w:r>
        <w:rPr>
          <w:rFonts w:hint="eastAsia" w:ascii="宋体" w:cs="宋体"/>
          <w:color w:val="auto"/>
          <w:kern w:val="0"/>
          <w:szCs w:val="21"/>
          <w:highlight w:val="none"/>
        </w:rPr>
        <w:t>承包人未提交劳动合同，以及没有为建造师缴纳社会保险证明的违约责任：</w:t>
      </w:r>
      <w:r>
        <w:rPr>
          <w:rFonts w:hint="eastAsia" w:ascii="宋体" w:cs="宋体"/>
          <w:color w:val="auto"/>
          <w:kern w:val="0"/>
          <w:szCs w:val="21"/>
          <w:highlight w:val="none"/>
          <w:u w:val="single"/>
        </w:rPr>
        <w:t xml:space="preserve">  </w:t>
      </w:r>
      <w:r>
        <w:rPr>
          <w:rFonts w:hint="eastAsia" w:ascii="宋体" w:cs="宋体"/>
          <w:color w:val="auto"/>
          <w:szCs w:val="21"/>
          <w:highlight w:val="none"/>
          <w:u w:val="single"/>
        </w:rPr>
        <w:t>签订本合同前提供，资格审查时已提供的，不再重复提供</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kern w:val="0"/>
          <w:szCs w:val="21"/>
          <w:highlight w:val="none"/>
        </w:rPr>
        <w:t>项目负责人未经批准，擅自离开施工现场的违约责任：</w:t>
      </w:r>
      <w:r>
        <w:rPr>
          <w:rFonts w:hint="eastAsia" w:ascii="宋体" w:cs="宋体"/>
          <w:color w:val="auto"/>
          <w:szCs w:val="21"/>
          <w:highlight w:val="none"/>
          <w:u w:val="single"/>
        </w:rPr>
        <w:t>未按规定在岗履责的，对项目经理和技术负责人处</w:t>
      </w:r>
      <w:r>
        <w:rPr>
          <w:rFonts w:hint="eastAsia" w:ascii="宋体" w:cs="宋体"/>
          <w:color w:val="auto"/>
          <w:szCs w:val="21"/>
          <w:highlight w:val="none"/>
          <w:u w:val="single"/>
          <w:lang w:val="en-US" w:eastAsia="zh-CN"/>
        </w:rPr>
        <w:t>以</w:t>
      </w:r>
      <w:r>
        <w:rPr>
          <w:rFonts w:hint="eastAsia" w:ascii="宋体" w:cs="宋体"/>
          <w:color w:val="auto"/>
          <w:szCs w:val="21"/>
          <w:highlight w:val="none"/>
          <w:u w:val="single"/>
        </w:rPr>
        <w:t>5000元/人·天的违约金，对施工现场其他管理人员处</w:t>
      </w:r>
      <w:r>
        <w:rPr>
          <w:rFonts w:hint="eastAsia" w:ascii="宋体" w:cs="宋体"/>
          <w:color w:val="auto"/>
          <w:szCs w:val="21"/>
          <w:highlight w:val="none"/>
          <w:u w:val="single"/>
          <w:lang w:val="en-US" w:eastAsia="zh-CN"/>
        </w:rPr>
        <w:t>以</w:t>
      </w:r>
      <w:r>
        <w:rPr>
          <w:rFonts w:hint="eastAsia" w:ascii="宋体" w:cs="宋体"/>
          <w:color w:val="auto"/>
          <w:szCs w:val="21"/>
          <w:highlight w:val="none"/>
          <w:u w:val="single"/>
        </w:rPr>
        <w:t>1000元/人·天的违约金。项目部关键岗位人员离岗必须向发包人项目组长履行请假手续，若被相关部门日常检查和随机抽查中发现不在岗的，又未履行请假手续的，处</w:t>
      </w:r>
      <w:r>
        <w:rPr>
          <w:rFonts w:hint="eastAsia" w:ascii="宋体" w:cs="宋体"/>
          <w:color w:val="auto"/>
          <w:szCs w:val="21"/>
          <w:highlight w:val="none"/>
          <w:u w:val="single"/>
          <w:lang w:val="en-US" w:eastAsia="zh-CN"/>
        </w:rPr>
        <w:t>以</w:t>
      </w:r>
      <w:r>
        <w:rPr>
          <w:rFonts w:hint="eastAsia" w:ascii="宋体" w:cs="宋体"/>
          <w:color w:val="auto"/>
          <w:szCs w:val="21"/>
          <w:highlight w:val="none"/>
          <w:u w:val="single"/>
        </w:rPr>
        <w:t>5000元/人·次的违约金。</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3.2.3 承包人擅自更换项目负责人的违约责任：</w:t>
      </w:r>
      <w:r>
        <w:rPr>
          <w:rFonts w:hint="eastAsia" w:ascii="宋体" w:cs="宋体"/>
          <w:color w:val="auto"/>
          <w:szCs w:val="21"/>
          <w:highlight w:val="none"/>
          <w:u w:val="single"/>
        </w:rPr>
        <w:t>项目负责人变更必须经发包人批准，并满足《关于进一步加强建筑施工现场项目负责人变更行为管理的通知》及滁州市其他相关规定要求，除①因重病或重伤三个月以上，不能履行职责的；②辞职的；③发生重大质量安全责任事故，受到刑事或行政处罚，不能担任项目负责人的；④无能力履行合同责任和义务，建设单位要求更换的；⑤被责令停止职业资格的；⑥因犯罪被羁押或判刑的；⑦死亡的等原因外，原则上不得变更。其中，亡故的需提供公安部门开具的死亡证明；重大疾病的需提供三甲及以上医院证明。出国、辞职等原因提出变更的，除需提供相关证明外，须缴纳10万元违约金，否则不得变更。变更后的项目负责人必须符合本项目招标文件和响应承诺配备的同等条件人员，并按照滁州市有关规定履行变更审批程序。</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3.2.4 承包人无正当理由拒绝更换项目经理的违约责任：</w:t>
      </w:r>
      <w:r>
        <w:rPr>
          <w:rFonts w:hint="eastAsia" w:ascii="宋体" w:cs="宋体"/>
          <w:color w:val="auto"/>
          <w:szCs w:val="21"/>
          <w:highlight w:val="none"/>
          <w:u w:val="single"/>
        </w:rPr>
        <w:t>发包人将组织对项目经理进行业务能力考核，对未按响应文件配备或经考核不合格要求更换人员的，承包人7日内必须整改调整到位。否则，对于项目经理和技术负责人，按照5000元/人•天处</w:t>
      </w:r>
      <w:r>
        <w:rPr>
          <w:rFonts w:hint="eastAsia" w:ascii="宋体" w:cs="宋体"/>
          <w:color w:val="auto"/>
          <w:szCs w:val="21"/>
          <w:highlight w:val="none"/>
          <w:u w:val="single"/>
          <w:lang w:val="en-US" w:eastAsia="zh-CN"/>
        </w:rPr>
        <w:t>以</w:t>
      </w:r>
      <w:r>
        <w:rPr>
          <w:rFonts w:hint="eastAsia" w:ascii="宋体" w:cs="宋体"/>
          <w:color w:val="auto"/>
          <w:szCs w:val="21"/>
          <w:highlight w:val="none"/>
          <w:u w:val="single"/>
        </w:rPr>
        <w:t>违约金，对于施工现场其他管理人员按照1000元/人•天处</w:t>
      </w:r>
      <w:r>
        <w:rPr>
          <w:rFonts w:hint="eastAsia" w:ascii="宋体" w:cs="宋体"/>
          <w:color w:val="auto"/>
          <w:szCs w:val="21"/>
          <w:highlight w:val="none"/>
          <w:u w:val="single"/>
          <w:lang w:val="en-US" w:eastAsia="zh-CN"/>
        </w:rPr>
        <w:t>以</w:t>
      </w:r>
      <w:r>
        <w:rPr>
          <w:rFonts w:hint="eastAsia" w:ascii="宋体" w:cs="宋体"/>
          <w:color w:val="auto"/>
          <w:szCs w:val="21"/>
          <w:highlight w:val="none"/>
          <w:u w:val="single"/>
        </w:rPr>
        <w:t>违约金。28日内未整改调整到位的，发包人有权终止合同，并提请相关行政主管部门对企业和人员进行“黑名单”处罚。</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3.3 承包人人员</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3.3.1 承包人提交项目管理机构及施工现场管理人员安排报告的期限：</w:t>
      </w:r>
      <w:r>
        <w:rPr>
          <w:rFonts w:hint="eastAsia" w:ascii="宋体" w:cs="宋体"/>
          <w:color w:val="auto"/>
          <w:szCs w:val="21"/>
          <w:highlight w:val="none"/>
          <w:u w:val="single"/>
        </w:rPr>
        <w:t>承包人应在</w:t>
      </w:r>
      <w:r>
        <w:rPr>
          <w:rFonts w:hint="eastAsia"/>
          <w:color w:val="auto"/>
          <w:highlight w:val="none"/>
          <w:u w:val="single"/>
        </w:rPr>
        <w:t>合同签订</w:t>
      </w:r>
      <w:r>
        <w:rPr>
          <w:rFonts w:hint="eastAsia" w:ascii="宋体" w:cs="宋体"/>
          <w:color w:val="auto"/>
          <w:szCs w:val="21"/>
          <w:highlight w:val="none"/>
          <w:u w:val="single"/>
        </w:rPr>
        <w:t>后7日内，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3.3.3 承包人无正当理由拒绝撤换主要施工管理人员的违约责任：</w:t>
      </w:r>
      <w:r>
        <w:rPr>
          <w:rFonts w:hint="eastAsia" w:ascii="宋体" w:cs="宋体"/>
          <w:color w:val="auto"/>
          <w:szCs w:val="21"/>
          <w:highlight w:val="none"/>
          <w:u w:val="single"/>
        </w:rPr>
        <w:t xml:space="preserve"> 发包人将组织对人员进行业务能力考核，对未按响应文件配备或经考核不合格要求更换人员的，承包人7日内必须整改调整到位。否则，对于项目经理和技术负责人，按照5000元/人·天的违约金进行处罚，对于施工现场其他管理人员按照1000元/人·天的违约金进行处罚。28日内未整改调整到位的，发包人有权终止合同，并提请相关行政主管部门对企业和人员进行“黑名单”处罚。</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3.3.4 承包人主要施工管理人员离开施工现场的批准要求：</w:t>
      </w:r>
      <w:r>
        <w:rPr>
          <w:rFonts w:hint="eastAsia" w:ascii="宋体" w:cs="宋体"/>
          <w:color w:val="auto"/>
          <w:szCs w:val="21"/>
          <w:highlight w:val="none"/>
          <w:u w:val="single"/>
        </w:rPr>
        <w:t>未按规定在岗履责的，对项目经理和技术负责人处</w:t>
      </w:r>
      <w:r>
        <w:rPr>
          <w:rFonts w:hint="eastAsia" w:ascii="宋体" w:cs="宋体"/>
          <w:color w:val="auto"/>
          <w:szCs w:val="21"/>
          <w:highlight w:val="none"/>
          <w:u w:val="single"/>
          <w:lang w:val="en-US" w:eastAsia="zh-CN"/>
        </w:rPr>
        <w:t>以</w:t>
      </w:r>
      <w:r>
        <w:rPr>
          <w:rFonts w:hint="eastAsia" w:ascii="宋体" w:cs="宋体"/>
          <w:color w:val="auto"/>
          <w:szCs w:val="21"/>
          <w:highlight w:val="none"/>
          <w:u w:val="single"/>
        </w:rPr>
        <w:t>5000元/人·天的违约金，对施工现场其他管理人员处</w:t>
      </w:r>
      <w:r>
        <w:rPr>
          <w:rFonts w:hint="eastAsia" w:ascii="宋体" w:cs="宋体"/>
          <w:color w:val="auto"/>
          <w:szCs w:val="21"/>
          <w:highlight w:val="none"/>
          <w:u w:val="single"/>
          <w:lang w:val="en-US" w:eastAsia="zh-CN"/>
        </w:rPr>
        <w:t>以</w:t>
      </w:r>
      <w:r>
        <w:rPr>
          <w:rFonts w:hint="eastAsia" w:ascii="宋体" w:cs="宋体"/>
          <w:color w:val="auto"/>
          <w:szCs w:val="21"/>
          <w:highlight w:val="none"/>
          <w:u w:val="single"/>
        </w:rPr>
        <w:t>1000元/人·天的违约金。项目部关键岗位人员离岗必须向发包人项目组长履行请假手续，若被相关部门日常检查和随机抽查中发现不在岗的，又未履行请假手续的，处</w:t>
      </w:r>
      <w:r>
        <w:rPr>
          <w:rFonts w:hint="eastAsia" w:ascii="宋体" w:cs="宋体"/>
          <w:color w:val="auto"/>
          <w:szCs w:val="21"/>
          <w:highlight w:val="none"/>
          <w:u w:val="single"/>
          <w:lang w:val="en-US" w:eastAsia="zh-CN"/>
        </w:rPr>
        <w:t>以</w:t>
      </w:r>
      <w:r>
        <w:rPr>
          <w:rFonts w:hint="eastAsia" w:ascii="宋体" w:cs="宋体"/>
          <w:color w:val="auto"/>
          <w:szCs w:val="21"/>
          <w:highlight w:val="none"/>
          <w:u w:val="single"/>
        </w:rPr>
        <w:t>5000元/人·次的违约金。</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3.3.5承包人擅自更换主要施工管理人员的违约责任：按照</w:t>
      </w:r>
      <w:r>
        <w:rPr>
          <w:rFonts w:hint="eastAsia" w:ascii="宋体" w:cs="宋体"/>
          <w:color w:val="auto"/>
          <w:szCs w:val="21"/>
          <w:highlight w:val="none"/>
          <w:u w:val="single"/>
        </w:rPr>
        <w:t>未按规定在岗履责进行处罚。</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3.5 分包</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3.5.1 分包的一般约定</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禁止分包的工程包括：</w:t>
      </w:r>
      <w:r>
        <w:rPr>
          <w:rFonts w:hint="eastAsia" w:ascii="宋体" w:cs="宋体"/>
          <w:color w:val="auto"/>
          <w:szCs w:val="21"/>
          <w:highlight w:val="none"/>
          <w:u w:val="single"/>
        </w:rPr>
        <w:t>承包人不得将其承包的全部工程转包给第三人，或将其承包的全部工程肢解后以分包的名义转包给第三人。承包人不得将工程主体结构、关键性工作及合同条款中禁止分包的专业工程分包给第三人，主体结构、关键性工作的范围由合同当事人按照法律规定在专用合同条款中予以明确。</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主体结构、关键性工作的范围：</w:t>
      </w:r>
      <w:r>
        <w:rPr>
          <w:rFonts w:hint="eastAsia" w:ascii="宋体" w:cs="宋体"/>
          <w:color w:val="auto"/>
          <w:szCs w:val="21"/>
          <w:highlight w:val="none"/>
          <w:u w:val="single"/>
          <w:lang w:val="en-US" w:eastAsia="zh-CN"/>
        </w:rPr>
        <w:t>按照相关法律法规执行</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3.5.2分包的确定</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允许分包的专业工程包括：</w:t>
      </w:r>
      <w:r>
        <w:rPr>
          <w:rFonts w:hint="eastAsia" w:ascii="宋体" w:cs="宋体"/>
          <w:color w:val="auto"/>
          <w:szCs w:val="21"/>
          <w:highlight w:val="none"/>
          <w:u w:val="single"/>
          <w:lang w:val="en-US" w:eastAsia="zh-CN"/>
        </w:rPr>
        <w:t>无</w:t>
      </w:r>
      <w:r>
        <w:rPr>
          <w:rFonts w:hint="eastAsia" w:ascii="宋体" w:cs="宋体"/>
          <w:color w:val="auto"/>
          <w:szCs w:val="21"/>
          <w:highlight w:val="none"/>
          <w:u w:val="single"/>
        </w:rPr>
        <w:t>。</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其他关于分包的约定：</w:t>
      </w:r>
      <w:r>
        <w:rPr>
          <w:rFonts w:hint="eastAsia" w:ascii="宋体" w:cs="宋体"/>
          <w:color w:val="auto"/>
          <w:szCs w:val="21"/>
          <w:highlight w:val="none"/>
          <w:u w:val="single"/>
        </w:rPr>
        <w:t>承包人不得以劳务分包的名义转包或违法分包工程。</w:t>
      </w:r>
      <w:r>
        <w:rPr>
          <w:rFonts w:hint="eastAsia" w:ascii="宋体" w:hAnsi="宋体" w:cs="宋体"/>
          <w:b/>
          <w:bCs/>
          <w:color w:val="auto"/>
          <w:szCs w:val="21"/>
          <w:highlight w:val="none"/>
          <w:u w:val="single"/>
        </w:rPr>
        <w:t>发包人在施工进场第一个月或施工过程中发现承包人转包、挂靠等行为的，发包人立即解除合同，清退出场，承包人已完合格工程量按合同价款60%进行结算。</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3.5.4 分包合同价款</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关于分包合同价款支付的约定：</w:t>
      </w:r>
      <w:r>
        <w:rPr>
          <w:rFonts w:hint="eastAsia" w:ascii="宋体" w:cs="宋体"/>
          <w:color w:val="auto"/>
          <w:szCs w:val="21"/>
          <w:highlight w:val="none"/>
          <w:u w:val="single"/>
        </w:rPr>
        <w:t>（1）除本项第（2）目约定的情况外，分包合同价款由承包人与分包人结算，未经承包人同意，发包人不得向分包人支付分包工程价款；（2）生效法律文书要求发包人向分包人支付分包合同价款的，发包人有权从应付承包人工程款中扣除该部分款项</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3.6 工程照管与成品、半成品保护</w:t>
      </w:r>
    </w:p>
    <w:p>
      <w:pPr>
        <w:snapToGrid w:val="0"/>
        <w:spacing w:line="440" w:lineRule="exact"/>
        <w:ind w:firstLine="420" w:firstLineChars="200"/>
        <w:rPr>
          <w:rFonts w:hint="eastAsia" w:ascii="宋体" w:cs="宋体"/>
          <w:color w:val="auto"/>
          <w:kern w:val="0"/>
          <w:szCs w:val="21"/>
          <w:highlight w:val="none"/>
          <w:u w:val="single"/>
        </w:rPr>
      </w:pPr>
      <w:r>
        <w:rPr>
          <w:rFonts w:hint="eastAsia" w:ascii="宋体" w:cs="宋体"/>
          <w:color w:val="auto"/>
          <w:kern w:val="0"/>
          <w:szCs w:val="21"/>
          <w:highlight w:val="none"/>
        </w:rPr>
        <w:t>承包人负责照管工程及工程相关的材料、工程设备的起始时间：</w:t>
      </w:r>
      <w:r>
        <w:rPr>
          <w:rFonts w:hint="eastAsia" w:ascii="宋体" w:cs="宋体"/>
          <w:color w:val="auto"/>
          <w:kern w:val="0"/>
          <w:szCs w:val="21"/>
          <w:highlight w:val="none"/>
          <w:u w:val="single"/>
        </w:rPr>
        <w:t>（1）自发包人向承包人移交施工现场之日起，承包人应负责照管工程及工程相关的材料、工程设备，直到办理移交手续之日止。（2）在承包人负责照管期间，因承包人原因造成工程、材料、工程设备损坏的，由承包人负责修复或更换，并承担由此增加的费用和（或）延误的工期。（3）对合同内分期完成的成品和半成品，在办理移交手续前，由承包人承担保护责任。因承包人原因造成成品或半成品损坏的，由承包人负责修复或更换，并承担由此增加的费用和（或）延误的工期。</w:t>
      </w:r>
    </w:p>
    <w:p>
      <w:pPr>
        <w:tabs>
          <w:tab w:val="left" w:pos="7740"/>
        </w:tabs>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3.7 履约担保</w:t>
      </w:r>
    </w:p>
    <w:p>
      <w:pPr>
        <w:tabs>
          <w:tab w:val="left" w:pos="7740"/>
        </w:tabs>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承包人是否提供履约担保：</w:t>
      </w:r>
      <w:r>
        <w:rPr>
          <w:rFonts w:hint="eastAsia" w:ascii="宋体" w:cs="宋体"/>
          <w:color w:val="auto"/>
          <w:szCs w:val="21"/>
          <w:highlight w:val="none"/>
          <w:u w:val="single"/>
        </w:rPr>
        <w:t xml:space="preserve">   是  </w:t>
      </w:r>
      <w:r>
        <w:rPr>
          <w:rFonts w:hint="eastAsia" w:ascii="宋体" w:cs="宋体"/>
          <w:color w:val="auto"/>
          <w:szCs w:val="21"/>
          <w:highlight w:val="none"/>
        </w:rPr>
        <w:t>。</w:t>
      </w:r>
    </w:p>
    <w:p>
      <w:pPr>
        <w:tabs>
          <w:tab w:val="left" w:pos="7740"/>
        </w:tabs>
        <w:snapToGrid w:val="0"/>
        <w:spacing w:line="440" w:lineRule="exact"/>
        <w:ind w:firstLine="420" w:firstLineChars="200"/>
        <w:rPr>
          <w:rFonts w:hint="eastAsia" w:ascii="宋体" w:hAnsi="Times New Roman" w:eastAsia="宋体" w:cs="宋体"/>
          <w:color w:val="auto"/>
          <w:szCs w:val="21"/>
          <w:highlight w:val="none"/>
        </w:rPr>
      </w:pPr>
      <w:r>
        <w:rPr>
          <w:rFonts w:hint="eastAsia" w:ascii="宋体" w:hAnsi="Times New Roman" w:eastAsia="宋体" w:cs="宋体"/>
          <w:color w:val="auto"/>
          <w:szCs w:val="21"/>
          <w:highlight w:val="none"/>
        </w:rPr>
        <w:t>履约数额：中标合同</w:t>
      </w:r>
      <w:r>
        <w:rPr>
          <w:rFonts w:hint="eastAsia" w:ascii="宋体" w:hAnsi="Times New Roman" w:eastAsia="宋体" w:cs="宋体"/>
          <w:color w:val="auto"/>
          <w:szCs w:val="21"/>
          <w:highlight w:val="none"/>
          <w:lang w:val="en-US" w:eastAsia="zh-CN"/>
        </w:rPr>
        <w:t>价*</w:t>
      </w:r>
      <w:r>
        <w:rPr>
          <w:rFonts w:hint="eastAsia" w:ascii="宋体" w:cs="宋体"/>
          <w:color w:val="auto"/>
          <w:szCs w:val="21"/>
          <w:highlight w:val="none"/>
          <w:lang w:val="en-US" w:eastAsia="zh-CN"/>
        </w:rPr>
        <w:t>10</w:t>
      </w:r>
      <w:r>
        <w:rPr>
          <w:rFonts w:hint="eastAsia" w:ascii="宋体" w:hAnsi="Times New Roman" w:eastAsia="宋体" w:cs="宋体"/>
          <w:color w:val="auto"/>
          <w:szCs w:val="21"/>
          <w:highlight w:val="none"/>
          <w:lang w:val="en-US" w:eastAsia="zh-CN"/>
        </w:rPr>
        <w:t>%</w:t>
      </w:r>
      <w:r>
        <w:rPr>
          <w:rFonts w:hint="eastAsia" w:ascii="宋体" w:hAnsi="Times New Roman" w:eastAsia="宋体" w:cs="宋体"/>
          <w:color w:val="auto"/>
          <w:szCs w:val="21"/>
          <w:highlight w:val="none"/>
        </w:rPr>
        <w:t>；</w:t>
      </w:r>
    </w:p>
    <w:p>
      <w:pPr>
        <w:tabs>
          <w:tab w:val="left" w:pos="7740"/>
        </w:tabs>
        <w:snapToGrid w:val="0"/>
        <w:spacing w:line="440" w:lineRule="exact"/>
        <w:ind w:firstLine="420" w:firstLineChars="200"/>
        <w:rPr>
          <w:rFonts w:hint="eastAsia" w:ascii="宋体" w:hAnsi="Times New Roman" w:eastAsia="宋体" w:cs="宋体"/>
          <w:color w:val="auto"/>
          <w:szCs w:val="21"/>
          <w:highlight w:val="none"/>
        </w:rPr>
      </w:pPr>
      <w:r>
        <w:rPr>
          <w:rFonts w:hint="eastAsia" w:ascii="宋体" w:hAnsi="Times New Roman" w:eastAsia="宋体" w:cs="宋体"/>
          <w:color w:val="auto"/>
          <w:szCs w:val="21"/>
          <w:highlight w:val="none"/>
        </w:rPr>
        <w:t>形式：支持银行转账、银行电汇、银行保函、担保机构担保、保证保险使用</w:t>
      </w:r>
    </w:p>
    <w:p>
      <w:pPr>
        <w:tabs>
          <w:tab w:val="left" w:pos="7740"/>
        </w:tabs>
        <w:snapToGrid w:val="0"/>
        <w:spacing w:line="440" w:lineRule="exact"/>
        <w:ind w:firstLine="420" w:firstLineChars="200"/>
        <w:rPr>
          <w:rFonts w:hint="default" w:ascii="宋体" w:eastAsia="宋体" w:cs="宋体"/>
          <w:color w:val="auto"/>
          <w:szCs w:val="21"/>
          <w:highlight w:val="none"/>
          <w:lang w:val="en-US" w:eastAsia="zh-CN"/>
        </w:rPr>
      </w:pPr>
      <w:r>
        <w:rPr>
          <w:rFonts w:hint="eastAsia" w:ascii="宋体" w:cs="宋体"/>
          <w:color w:val="auto"/>
          <w:szCs w:val="21"/>
          <w:highlight w:val="none"/>
          <w:lang w:val="en-US" w:eastAsia="zh-CN"/>
        </w:rPr>
        <w:t>具体要求详见投标人须知前附表</w:t>
      </w:r>
    </w:p>
    <w:p>
      <w:pPr>
        <w:tabs>
          <w:tab w:val="left" w:pos="7740"/>
        </w:tabs>
        <w:snapToGrid w:val="0"/>
        <w:spacing w:line="440" w:lineRule="exact"/>
        <w:ind w:firstLine="420" w:firstLineChars="200"/>
        <w:rPr>
          <w:rFonts w:hint="eastAsia" w:ascii="宋体" w:eastAsia="宋体" w:cs="宋体"/>
          <w:strike w:val="0"/>
          <w:dstrike w:val="0"/>
          <w:color w:val="auto"/>
          <w:szCs w:val="21"/>
          <w:highlight w:val="none"/>
          <w:lang w:eastAsia="zh-CN"/>
        </w:rPr>
      </w:pPr>
      <w:r>
        <w:rPr>
          <w:rFonts w:hint="eastAsia" w:ascii="宋体" w:cs="宋体"/>
          <w:strike w:val="0"/>
          <w:dstrike w:val="0"/>
          <w:color w:val="auto"/>
          <w:szCs w:val="21"/>
          <w:highlight w:val="none"/>
        </w:rPr>
        <w:t xml:space="preserve">4. </w:t>
      </w:r>
      <w:r>
        <w:rPr>
          <w:rFonts w:hint="eastAsia" w:ascii="宋体" w:cs="宋体"/>
          <w:strike w:val="0"/>
          <w:dstrike w:val="0"/>
          <w:color w:val="auto"/>
          <w:szCs w:val="21"/>
          <w:highlight w:val="none"/>
          <w:lang w:eastAsia="zh-CN"/>
        </w:rPr>
        <w:t>发包人</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5. 工程质量</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5.1 质量要求</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5.1.1 特殊质量标准和要求：</w:t>
      </w:r>
      <w:r>
        <w:rPr>
          <w:rFonts w:hint="eastAsia" w:ascii="宋体" w:cs="宋体"/>
          <w:color w:val="auto"/>
          <w:szCs w:val="21"/>
          <w:highlight w:val="none"/>
          <w:u w:val="single"/>
        </w:rPr>
        <w:t xml:space="preserve"> 工程质量必须达到国家工程施工质量验收 合格 标准。 </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关于工程奖项的约定：</w:t>
      </w:r>
      <w:r>
        <w:rPr>
          <w:rFonts w:hint="eastAsia" w:ascii="宋体" w:cs="宋体"/>
          <w:color w:val="auto"/>
          <w:szCs w:val="21"/>
          <w:highlight w:val="none"/>
          <w:u w:val="single"/>
        </w:rPr>
        <w:t xml:space="preserve"> /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5.3 隐蔽工程检查</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5.3.1隐蔽工程隐蔽前，承包人应当对工程隐蔽部位进行自检，并经自检确认是否具备覆盖条件。</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5.3.2承包人提前通知</w:t>
      </w:r>
      <w:r>
        <w:rPr>
          <w:rFonts w:hint="eastAsia" w:ascii="宋体" w:cs="宋体"/>
          <w:color w:val="auto"/>
          <w:szCs w:val="21"/>
          <w:highlight w:val="none"/>
          <w:lang w:eastAsia="zh-CN"/>
        </w:rPr>
        <w:t>发包人</w:t>
      </w:r>
      <w:r>
        <w:rPr>
          <w:rFonts w:hint="eastAsia" w:ascii="宋体" w:cs="宋体"/>
          <w:color w:val="auto"/>
          <w:szCs w:val="21"/>
          <w:highlight w:val="none"/>
        </w:rPr>
        <w:t>隐蔽工程检查的期限的约定：工程隐蔽部位经承包人自检确认具备覆盖条件的，承包人应在共同检查前6小时书面通知</w:t>
      </w:r>
      <w:r>
        <w:rPr>
          <w:rFonts w:hint="eastAsia" w:ascii="宋体" w:cs="宋体"/>
          <w:color w:val="auto"/>
          <w:szCs w:val="21"/>
          <w:highlight w:val="none"/>
          <w:lang w:eastAsia="zh-CN"/>
        </w:rPr>
        <w:t>发包人</w:t>
      </w:r>
      <w:r>
        <w:rPr>
          <w:rFonts w:hint="eastAsia" w:ascii="宋体" w:cs="宋体"/>
          <w:color w:val="auto"/>
          <w:szCs w:val="21"/>
          <w:highlight w:val="none"/>
        </w:rPr>
        <w:t>检查，通知中应载明隐蔽检查的内容、时间和地点，并应附有自检记录和必要的检查资料。</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lang w:eastAsia="zh-CN"/>
        </w:rPr>
        <w:t>发包人</w:t>
      </w:r>
      <w:r>
        <w:rPr>
          <w:rFonts w:hint="eastAsia" w:ascii="宋体" w:cs="宋体"/>
          <w:color w:val="auto"/>
          <w:szCs w:val="21"/>
          <w:highlight w:val="none"/>
        </w:rPr>
        <w:t>应按时到场并对隐蔽工程及其施工工艺、材料和工程设备进行检查。经</w:t>
      </w:r>
      <w:r>
        <w:rPr>
          <w:rFonts w:hint="eastAsia" w:ascii="宋体" w:cs="宋体"/>
          <w:color w:val="auto"/>
          <w:szCs w:val="21"/>
          <w:highlight w:val="none"/>
          <w:lang w:eastAsia="zh-CN"/>
        </w:rPr>
        <w:t>发包人</w:t>
      </w:r>
      <w:r>
        <w:rPr>
          <w:rFonts w:hint="eastAsia" w:ascii="宋体" w:cs="宋体"/>
          <w:color w:val="auto"/>
          <w:szCs w:val="21"/>
          <w:highlight w:val="none"/>
        </w:rPr>
        <w:t>检查确认质量符合隐蔽要求，并在验收记录上签字后，承包人才能进行覆盖。经</w:t>
      </w:r>
      <w:r>
        <w:rPr>
          <w:rFonts w:hint="eastAsia" w:ascii="宋体" w:cs="宋体"/>
          <w:color w:val="auto"/>
          <w:szCs w:val="21"/>
          <w:highlight w:val="none"/>
          <w:lang w:eastAsia="zh-CN"/>
        </w:rPr>
        <w:t>发包人</w:t>
      </w:r>
      <w:r>
        <w:rPr>
          <w:rFonts w:hint="eastAsia" w:ascii="宋体" w:cs="宋体"/>
          <w:color w:val="auto"/>
          <w:szCs w:val="21"/>
          <w:highlight w:val="none"/>
        </w:rPr>
        <w:t>检查质量不合格的，承包人应在</w:t>
      </w:r>
      <w:r>
        <w:rPr>
          <w:rFonts w:hint="eastAsia" w:ascii="宋体" w:cs="宋体"/>
          <w:color w:val="auto"/>
          <w:szCs w:val="21"/>
          <w:highlight w:val="none"/>
          <w:lang w:eastAsia="zh-CN"/>
        </w:rPr>
        <w:t>发包人</w:t>
      </w:r>
      <w:r>
        <w:rPr>
          <w:rFonts w:hint="eastAsia" w:ascii="宋体" w:cs="宋体"/>
          <w:color w:val="auto"/>
          <w:szCs w:val="21"/>
          <w:highlight w:val="none"/>
        </w:rPr>
        <w:t>指示的时间内完成修复，并由</w:t>
      </w:r>
      <w:r>
        <w:rPr>
          <w:rFonts w:hint="eastAsia" w:ascii="宋体" w:cs="宋体"/>
          <w:color w:val="auto"/>
          <w:szCs w:val="21"/>
          <w:highlight w:val="none"/>
          <w:lang w:eastAsia="zh-CN"/>
        </w:rPr>
        <w:t>发包人</w:t>
      </w:r>
      <w:r>
        <w:rPr>
          <w:rFonts w:hint="eastAsia" w:ascii="宋体" w:cs="宋体"/>
          <w:color w:val="auto"/>
          <w:szCs w:val="21"/>
          <w:highlight w:val="none"/>
        </w:rPr>
        <w:t>重新检查，由此增加的费用和（或）延误的工期由承包人承担。</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lang w:eastAsia="zh-CN"/>
        </w:rPr>
        <w:t>发包人</w:t>
      </w:r>
      <w:r>
        <w:rPr>
          <w:rFonts w:hint="eastAsia" w:ascii="宋体" w:cs="宋体"/>
          <w:color w:val="auto"/>
          <w:szCs w:val="21"/>
          <w:highlight w:val="none"/>
        </w:rPr>
        <w:t>不能按时进行检查的，应在检查前3小时向承包人提交书面延期要求，但延期不能超过6小时，由此导致工期延误的，工期应予以顺延。</w:t>
      </w:r>
      <w:r>
        <w:rPr>
          <w:rFonts w:hint="eastAsia" w:ascii="宋体" w:cs="宋体"/>
          <w:color w:val="auto"/>
          <w:szCs w:val="21"/>
          <w:highlight w:val="none"/>
          <w:lang w:eastAsia="zh-CN"/>
        </w:rPr>
        <w:t>发包人</w:t>
      </w:r>
      <w:r>
        <w:rPr>
          <w:rFonts w:hint="eastAsia" w:ascii="宋体" w:cs="宋体"/>
          <w:color w:val="auto"/>
          <w:szCs w:val="21"/>
          <w:highlight w:val="none"/>
        </w:rPr>
        <w:t>未按时进行检查，也未提出延期要求的，视为隐蔽工程检查合格，承包人可自行完成覆盖工作，并作相应记录报送</w:t>
      </w:r>
      <w:r>
        <w:rPr>
          <w:rFonts w:hint="eastAsia" w:ascii="宋体" w:cs="宋体"/>
          <w:color w:val="auto"/>
          <w:szCs w:val="21"/>
          <w:highlight w:val="none"/>
          <w:lang w:eastAsia="zh-CN"/>
        </w:rPr>
        <w:t>发包人</w:t>
      </w:r>
      <w:r>
        <w:rPr>
          <w:rFonts w:hint="eastAsia" w:ascii="宋体" w:cs="宋体"/>
          <w:color w:val="auto"/>
          <w:szCs w:val="21"/>
          <w:highlight w:val="none"/>
        </w:rPr>
        <w:t>，</w:t>
      </w:r>
      <w:r>
        <w:rPr>
          <w:rFonts w:hint="eastAsia" w:ascii="宋体" w:cs="宋体"/>
          <w:color w:val="auto"/>
          <w:szCs w:val="21"/>
          <w:highlight w:val="none"/>
          <w:lang w:eastAsia="zh-CN"/>
        </w:rPr>
        <w:t>发包人</w:t>
      </w:r>
      <w:r>
        <w:rPr>
          <w:rFonts w:hint="eastAsia" w:ascii="宋体" w:cs="宋体"/>
          <w:color w:val="auto"/>
          <w:szCs w:val="21"/>
          <w:highlight w:val="none"/>
        </w:rPr>
        <w:t>应签字确认。</w:t>
      </w:r>
      <w:r>
        <w:rPr>
          <w:rFonts w:hint="eastAsia" w:ascii="宋体" w:cs="宋体"/>
          <w:color w:val="auto"/>
          <w:szCs w:val="21"/>
          <w:highlight w:val="none"/>
          <w:lang w:eastAsia="zh-CN"/>
        </w:rPr>
        <w:t>发包人</w:t>
      </w:r>
      <w:r>
        <w:rPr>
          <w:rFonts w:hint="eastAsia" w:ascii="宋体" w:cs="宋体"/>
          <w:color w:val="auto"/>
          <w:szCs w:val="21"/>
          <w:highlight w:val="none"/>
        </w:rPr>
        <w:t>事后对检查记录有疑问的，可按第5.3.3项〔重新检查〕的约定重新检查。</w:t>
      </w:r>
    </w:p>
    <w:p>
      <w:pPr>
        <w:pStyle w:val="9"/>
        <w:tabs>
          <w:tab w:val="left" w:pos="3315"/>
        </w:tabs>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6. 安全文明施工与环境保护</w:t>
      </w:r>
      <w:r>
        <w:rPr>
          <w:rFonts w:hint="eastAsia" w:ascii="宋体" w:eastAsia="宋体" w:cs="宋体"/>
          <w:b w:val="0"/>
          <w:color w:val="auto"/>
          <w:sz w:val="21"/>
          <w:szCs w:val="21"/>
          <w:highlight w:val="none"/>
        </w:rPr>
        <w:tab/>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6.1安全文明施工</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6.1.1 项目安全生产的达标目标及相应事项的约定</w:t>
      </w:r>
      <w:r>
        <w:rPr>
          <w:rFonts w:hint="eastAsia" w:ascii="宋体" w:cs="宋体"/>
          <w:color w:val="auto"/>
          <w:szCs w:val="21"/>
          <w:highlight w:val="none"/>
          <w:u w:val="single"/>
        </w:rPr>
        <w:t xml:space="preserve">  /    。</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6.1.4 关于治安保卫的特别约定：</w:t>
      </w:r>
      <w:r>
        <w:rPr>
          <w:rFonts w:hint="eastAsia" w:ascii="宋体" w:cs="宋体"/>
          <w:color w:val="auto"/>
          <w:szCs w:val="21"/>
          <w:highlight w:val="none"/>
          <w:u w:val="single"/>
        </w:rPr>
        <w:t xml:space="preserve"> 发包人应与当地公安部门协商，在现场建立治安管理机构或联防组织，统一管理施工场地的治安保卫事项，履行合同工程的治安保卫职责。发包人和承包人除应协助现场治安管理机构或联防组织维护施工场地的社会治安外，还应做好包括生活区在内的各自管辖区的治安保卫工作。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关于编制施工场地治安管理计划的约定：</w:t>
      </w:r>
      <w:r>
        <w:rPr>
          <w:rFonts w:hint="eastAsia" w:ascii="宋体" w:cs="宋体"/>
          <w:color w:val="auto"/>
          <w:szCs w:val="21"/>
          <w:highlight w:val="none"/>
          <w:u w:val="single"/>
        </w:rPr>
        <w:t xml:space="preserve">   由承包人负责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6.1.5 文明施工</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合同当事人对文明施工的要求：</w:t>
      </w:r>
      <w:r>
        <w:rPr>
          <w:rFonts w:hint="eastAsia" w:ascii="宋体" w:cs="宋体"/>
          <w:color w:val="auto"/>
          <w:szCs w:val="21"/>
          <w:highlight w:val="none"/>
          <w:u w:val="single"/>
        </w:rPr>
        <w:t xml:space="preserve">   执行</w:t>
      </w:r>
      <w:r>
        <w:rPr>
          <w:rFonts w:hint="eastAsia" w:ascii="宋体" w:cs="宋体"/>
          <w:color w:val="auto"/>
          <w:szCs w:val="21"/>
          <w:highlight w:val="none"/>
          <w:u w:val="single"/>
          <w:lang w:val="en-US" w:eastAsia="zh-CN"/>
        </w:rPr>
        <w:t>招标</w:t>
      </w:r>
      <w:r>
        <w:rPr>
          <w:rFonts w:hint="eastAsia" w:ascii="宋体" w:cs="宋体"/>
          <w:color w:val="auto"/>
          <w:szCs w:val="21"/>
          <w:highlight w:val="none"/>
          <w:u w:val="single"/>
        </w:rPr>
        <w:t xml:space="preserve">文件   </w:t>
      </w:r>
      <w:r>
        <w:rPr>
          <w:rFonts w:hint="eastAsia" w:ascii="宋体" w:cs="宋体"/>
          <w:color w:val="auto"/>
          <w:szCs w:val="21"/>
          <w:highlight w:val="none"/>
        </w:rPr>
        <w:t>。</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7. 工期和进度</w:t>
      </w:r>
    </w:p>
    <w:p>
      <w:pPr>
        <w:tabs>
          <w:tab w:val="left" w:pos="3240"/>
        </w:tabs>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7.1 施工组织设计</w:t>
      </w:r>
      <w:r>
        <w:rPr>
          <w:rFonts w:hint="eastAsia" w:ascii="宋体" w:cs="宋体"/>
          <w:color w:val="auto"/>
          <w:szCs w:val="21"/>
          <w:highlight w:val="none"/>
        </w:rPr>
        <w:tab/>
      </w:r>
    </w:p>
    <w:p>
      <w:pPr>
        <w:autoSpaceDE w:val="0"/>
        <w:autoSpaceDN w:val="0"/>
        <w:adjustRightInd w:val="0"/>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7.1.1 （9）合</w:t>
      </w:r>
      <w:r>
        <w:rPr>
          <w:rFonts w:hint="eastAsia" w:ascii="宋体" w:cs="宋体"/>
          <w:color w:val="auto"/>
          <w:kern w:val="0"/>
          <w:szCs w:val="21"/>
          <w:highlight w:val="none"/>
        </w:rPr>
        <w:t>同当事人约定的施工组织设计应包括的其他内容：</w:t>
      </w:r>
      <w:r>
        <w:rPr>
          <w:rFonts w:hint="eastAsia" w:ascii="宋体" w:cs="宋体"/>
          <w:color w:val="auto"/>
          <w:szCs w:val="21"/>
          <w:highlight w:val="none"/>
          <w:u w:val="single"/>
        </w:rPr>
        <w:t xml:space="preserve">  本工程需按照总进度计划编制每月施工进度计划，经监理、发包人审批后作为进度考核和进度款支付的依据  </w:t>
      </w:r>
      <w:r>
        <w:rPr>
          <w:rFonts w:hint="eastAsia" w:ascii="宋体" w:cs="宋体"/>
          <w:color w:val="auto"/>
          <w:szCs w:val="21"/>
          <w:highlight w:val="none"/>
        </w:rPr>
        <w:t>。</w:t>
      </w:r>
    </w:p>
    <w:p>
      <w:pPr>
        <w:autoSpaceDE w:val="0"/>
        <w:autoSpaceDN w:val="0"/>
        <w:adjustRightInd w:val="0"/>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szCs w:val="21"/>
          <w:highlight w:val="none"/>
        </w:rPr>
        <w:t xml:space="preserve">7.1.2 </w:t>
      </w:r>
      <w:r>
        <w:rPr>
          <w:rFonts w:hint="eastAsia" w:ascii="宋体" w:cs="宋体"/>
          <w:color w:val="auto"/>
          <w:kern w:val="0"/>
          <w:szCs w:val="21"/>
          <w:highlight w:val="none"/>
        </w:rPr>
        <w:t>施工组织设计的提交和修改</w:t>
      </w:r>
    </w:p>
    <w:p>
      <w:pPr>
        <w:autoSpaceDE w:val="0"/>
        <w:autoSpaceDN w:val="0"/>
        <w:adjustRightInd w:val="0"/>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kern w:val="0"/>
          <w:szCs w:val="21"/>
          <w:highlight w:val="none"/>
        </w:rPr>
        <w:t>承包人提交详细施工组织设计的期限的约定：</w:t>
      </w:r>
      <w:r>
        <w:rPr>
          <w:rFonts w:hint="eastAsia" w:ascii="宋体" w:cs="宋体"/>
          <w:color w:val="auto"/>
          <w:szCs w:val="21"/>
          <w:highlight w:val="none"/>
          <w:u w:val="single"/>
        </w:rPr>
        <w:t xml:space="preserve">图纸会审及设计交底后一周内提供标后实施性施工组织设计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发包人和</w:t>
      </w:r>
      <w:r>
        <w:rPr>
          <w:rFonts w:hint="eastAsia" w:ascii="宋体" w:cs="宋体"/>
          <w:color w:val="auto"/>
          <w:szCs w:val="21"/>
          <w:highlight w:val="none"/>
          <w:lang w:eastAsia="zh-CN"/>
        </w:rPr>
        <w:t>发包人</w:t>
      </w:r>
      <w:r>
        <w:rPr>
          <w:rFonts w:hint="eastAsia" w:ascii="宋体" w:cs="宋体"/>
          <w:color w:val="auto"/>
          <w:szCs w:val="21"/>
          <w:highlight w:val="none"/>
        </w:rPr>
        <w:t>在收到详细的施工组织设计后确认或提出修改意见的期限：</w:t>
      </w:r>
      <w:r>
        <w:rPr>
          <w:rFonts w:hint="eastAsia" w:ascii="宋体" w:cs="宋体"/>
          <w:color w:val="auto"/>
          <w:szCs w:val="21"/>
          <w:highlight w:val="none"/>
          <w:u w:val="single"/>
        </w:rPr>
        <w:t>发包人和</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应在</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收到施工组织设计后7天内确认或提出修改意见。对发包人和</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提出的合理意见和要求，承包人应自费修改完善。根据工程实际情况需要修改施工组织设计的，承包人应向发包人和</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提交修改后的施工组织设计。</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7.2 施工进度计划</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7.2.2 施工进度计划的修订</w:t>
      </w:r>
    </w:p>
    <w:p>
      <w:pPr>
        <w:snapToGrid w:val="0"/>
        <w:spacing w:line="440" w:lineRule="exact"/>
        <w:ind w:firstLine="420" w:firstLineChars="200"/>
        <w:jc w:val="left"/>
        <w:rPr>
          <w:rFonts w:hint="default" w:ascii="宋体" w:cs="宋体"/>
          <w:color w:val="auto"/>
          <w:szCs w:val="21"/>
          <w:highlight w:val="none"/>
          <w:u w:val="single"/>
          <w:lang w:val="en-US"/>
        </w:rPr>
      </w:pPr>
      <w:r>
        <w:rPr>
          <w:rFonts w:hint="eastAsia" w:ascii="宋体" w:cs="宋体"/>
          <w:color w:val="auto"/>
          <w:szCs w:val="21"/>
          <w:highlight w:val="none"/>
          <w:lang w:eastAsia="zh-CN"/>
        </w:rPr>
        <w:t>发包人</w:t>
      </w:r>
      <w:r>
        <w:rPr>
          <w:rFonts w:hint="eastAsia" w:ascii="宋体" w:cs="宋体"/>
          <w:color w:val="auto"/>
          <w:szCs w:val="21"/>
          <w:highlight w:val="none"/>
        </w:rPr>
        <w:t>在收到修订的施工进度计划后确认或提出修改意见的期限：</w:t>
      </w:r>
      <w:r>
        <w:rPr>
          <w:rFonts w:hint="eastAsia" w:ascii="宋体" w:cs="宋体"/>
          <w:color w:val="auto"/>
          <w:szCs w:val="21"/>
          <w:highlight w:val="none"/>
          <w:u w:val="single"/>
          <w:lang w:val="en-US" w:eastAsia="zh-CN"/>
        </w:rPr>
        <w:t>确定施工计划后除发包人要求，不得更改。</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7.3 开工</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7.3.1 开工准备</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关于承包人提交</w:t>
      </w:r>
      <w:r>
        <w:rPr>
          <w:rFonts w:hint="eastAsia" w:ascii="宋体" w:cs="宋体"/>
          <w:color w:val="auto"/>
          <w:kern w:val="0"/>
          <w:szCs w:val="21"/>
          <w:highlight w:val="none"/>
        </w:rPr>
        <w:t>工程开工报审表的期限：</w:t>
      </w:r>
      <w:r>
        <w:rPr>
          <w:rFonts w:hint="eastAsia" w:ascii="宋体" w:cs="宋体"/>
          <w:color w:val="auto"/>
          <w:szCs w:val="21"/>
          <w:highlight w:val="none"/>
          <w:u w:val="single"/>
        </w:rPr>
        <w:t xml:space="preserve"> 承包人应按照第7.1款〔施工组织设计〕约定的期限，向</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提交工程开工报审表，经</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报发包人批准后执行。开工报审表应详细说明按施工进度计划正常施工所需的施工道路、临时设施、材料、工程设备、施工设备、施工人员等落实情况以及工程的进度安排。</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关于承包人应完成的其他开工准备工作及期限：</w:t>
      </w:r>
      <w:r>
        <w:rPr>
          <w:rFonts w:hint="eastAsia" w:ascii="宋体" w:cs="宋体"/>
          <w:color w:val="auto"/>
          <w:szCs w:val="21"/>
          <w:highlight w:val="none"/>
          <w:u w:val="single"/>
        </w:rPr>
        <w:t>合同当事人应按约定完成开工准备工作。</w:t>
      </w:r>
    </w:p>
    <w:p>
      <w:pPr>
        <w:snapToGrid w:val="0"/>
        <w:spacing w:line="440" w:lineRule="exact"/>
        <w:ind w:firstLine="420" w:firstLineChars="200"/>
        <w:jc w:val="left"/>
        <w:rPr>
          <w:rFonts w:hint="eastAsia" w:ascii="宋体" w:cs="宋体"/>
          <w:strike w:val="0"/>
          <w:dstrike w:val="0"/>
          <w:color w:val="auto"/>
          <w:szCs w:val="21"/>
          <w:highlight w:val="none"/>
        </w:rPr>
      </w:pPr>
      <w:r>
        <w:rPr>
          <w:rFonts w:hint="eastAsia" w:ascii="宋体" w:cs="宋体"/>
          <w:strike w:val="0"/>
          <w:dstrike w:val="0"/>
          <w:color w:val="auto"/>
          <w:szCs w:val="21"/>
          <w:highlight w:val="none"/>
        </w:rPr>
        <w:t>7.3.2开工通知</w:t>
      </w:r>
    </w:p>
    <w:p>
      <w:pPr>
        <w:snapToGrid w:val="0"/>
        <w:spacing w:line="440" w:lineRule="exact"/>
        <w:ind w:firstLine="420" w:firstLineChars="200"/>
        <w:jc w:val="left"/>
        <w:rPr>
          <w:rFonts w:hint="default" w:ascii="宋体" w:eastAsia="宋体" w:cs="宋体"/>
          <w:strike w:val="0"/>
          <w:dstrike w:val="0"/>
          <w:color w:val="auto"/>
          <w:szCs w:val="21"/>
          <w:highlight w:val="none"/>
          <w:lang w:val="en-US" w:eastAsia="zh-CN"/>
        </w:rPr>
      </w:pPr>
      <w:r>
        <w:rPr>
          <w:rFonts w:hint="eastAsia" w:ascii="宋体" w:cs="宋体"/>
          <w:strike w:val="0"/>
          <w:dstrike w:val="0"/>
          <w:color w:val="auto"/>
          <w:szCs w:val="21"/>
          <w:highlight w:val="none"/>
          <w:lang w:val="en-US" w:eastAsia="zh-CN"/>
        </w:rPr>
        <w:t>由发包人发出。</w:t>
      </w:r>
    </w:p>
    <w:p>
      <w:pPr>
        <w:snapToGrid w:val="0"/>
        <w:spacing w:line="440" w:lineRule="exact"/>
        <w:ind w:firstLine="420" w:firstLineChars="200"/>
        <w:rPr>
          <w:rFonts w:hint="eastAsia" w:ascii="宋体" w:eastAsia="宋体" w:cs="宋体"/>
          <w:strike w:val="0"/>
          <w:dstrike w:val="0"/>
          <w:color w:val="auto"/>
          <w:szCs w:val="21"/>
          <w:highlight w:val="none"/>
          <w:lang w:eastAsia="zh-CN"/>
        </w:rPr>
      </w:pPr>
      <w:r>
        <w:rPr>
          <w:rFonts w:hint="eastAsia" w:ascii="宋体" w:cs="宋体"/>
          <w:strike w:val="0"/>
          <w:dstrike w:val="0"/>
          <w:color w:val="auto"/>
          <w:szCs w:val="21"/>
          <w:highlight w:val="none"/>
        </w:rPr>
        <w:t>7.4 测量放线</w:t>
      </w:r>
      <w:r>
        <w:rPr>
          <w:rFonts w:hint="eastAsia" w:ascii="宋体" w:cs="宋体"/>
          <w:strike w:val="0"/>
          <w:dstrike w:val="0"/>
          <w:color w:val="auto"/>
          <w:szCs w:val="21"/>
          <w:highlight w:val="none"/>
          <w:lang w:eastAsia="zh-CN"/>
        </w:rPr>
        <w:t>（</w:t>
      </w:r>
      <w:r>
        <w:rPr>
          <w:rFonts w:hint="eastAsia" w:ascii="宋体" w:cs="宋体"/>
          <w:strike w:val="0"/>
          <w:dstrike w:val="0"/>
          <w:color w:val="auto"/>
          <w:szCs w:val="21"/>
          <w:highlight w:val="none"/>
          <w:lang w:val="en-US" w:eastAsia="zh-CN"/>
        </w:rPr>
        <w:t>本项目不采用</w:t>
      </w:r>
      <w:r>
        <w:rPr>
          <w:rFonts w:hint="eastAsia" w:ascii="宋体" w:cs="宋体"/>
          <w:strike w:val="0"/>
          <w:dstrike w:val="0"/>
          <w:color w:val="auto"/>
          <w:szCs w:val="21"/>
          <w:highlight w:val="none"/>
          <w:lang w:eastAsia="zh-CN"/>
        </w:rPr>
        <w:t>）</w:t>
      </w:r>
    </w:p>
    <w:p>
      <w:pPr>
        <w:snapToGrid w:val="0"/>
        <w:spacing w:line="440" w:lineRule="exact"/>
        <w:ind w:firstLine="420" w:firstLineChars="200"/>
        <w:jc w:val="left"/>
        <w:rPr>
          <w:rFonts w:hint="eastAsia" w:ascii="宋体" w:hAnsi="宋体" w:eastAsia="宋体" w:cs="宋体"/>
          <w:strike w:val="0"/>
          <w:dstrike w:val="0"/>
          <w:color w:val="auto"/>
          <w:highlight w:val="none"/>
          <w:lang w:eastAsia="zh-CN"/>
        </w:rPr>
      </w:pPr>
      <w:r>
        <w:rPr>
          <w:rFonts w:hint="eastAsia" w:ascii="宋体" w:cs="宋体"/>
          <w:strike w:val="0"/>
          <w:dstrike w:val="0"/>
          <w:color w:val="auto"/>
          <w:szCs w:val="21"/>
          <w:highlight w:val="none"/>
        </w:rPr>
        <w:t>7.4.1发包人通过</w:t>
      </w:r>
      <w:r>
        <w:rPr>
          <w:rFonts w:hint="eastAsia" w:ascii="宋体" w:cs="宋体"/>
          <w:strike w:val="0"/>
          <w:dstrike w:val="0"/>
          <w:color w:val="auto"/>
          <w:szCs w:val="21"/>
          <w:highlight w:val="none"/>
          <w:lang w:eastAsia="zh-CN"/>
        </w:rPr>
        <w:t>发包人</w:t>
      </w:r>
      <w:r>
        <w:rPr>
          <w:rFonts w:hint="eastAsia" w:ascii="宋体" w:cs="宋体"/>
          <w:strike w:val="0"/>
          <w:dstrike w:val="0"/>
          <w:color w:val="auto"/>
          <w:szCs w:val="21"/>
          <w:highlight w:val="none"/>
        </w:rPr>
        <w:t>向承包人提供测量基准点、基准线和水准点及其书面资料的期限：</w:t>
      </w:r>
      <w:r>
        <w:rPr>
          <w:rFonts w:hint="eastAsia" w:ascii="宋体" w:cs="宋体"/>
          <w:strike w:val="0"/>
          <w:dstrike w:val="0"/>
          <w:color w:val="auto"/>
          <w:szCs w:val="21"/>
          <w:highlight w:val="none"/>
          <w:u w:val="single"/>
        </w:rPr>
        <w:t xml:space="preserve"> </w:t>
      </w:r>
      <w:r>
        <w:rPr>
          <w:rFonts w:hint="eastAsia" w:ascii="宋体" w:hAnsi="宋体" w:cs="宋体"/>
          <w:strike w:val="0"/>
          <w:dstrike w:val="0"/>
          <w:color w:val="auto"/>
          <w:highlight w:val="none"/>
          <w:u w:val="single"/>
          <w:lang w:val="en-US" w:eastAsia="zh-CN"/>
        </w:rPr>
        <w:t>/</w:t>
      </w:r>
    </w:p>
    <w:p>
      <w:pPr>
        <w:snapToGrid w:val="0"/>
        <w:spacing w:line="440" w:lineRule="exact"/>
        <w:ind w:firstLine="420" w:firstLineChars="200"/>
        <w:rPr>
          <w:rFonts w:hint="eastAsia" w:ascii="宋体" w:cs="宋体"/>
          <w:strike w:val="0"/>
          <w:dstrike w:val="0"/>
          <w:color w:val="auto"/>
          <w:szCs w:val="21"/>
          <w:highlight w:val="none"/>
        </w:rPr>
      </w:pPr>
      <w:r>
        <w:rPr>
          <w:rFonts w:hint="eastAsia" w:ascii="宋体" w:cs="宋体"/>
          <w:strike w:val="0"/>
          <w:dstrike w:val="0"/>
          <w:color w:val="auto"/>
          <w:szCs w:val="21"/>
          <w:highlight w:val="none"/>
        </w:rPr>
        <w:t>7.5 工期延误</w:t>
      </w:r>
    </w:p>
    <w:p>
      <w:pPr>
        <w:snapToGrid w:val="0"/>
        <w:spacing w:line="440" w:lineRule="exact"/>
        <w:ind w:firstLine="420" w:firstLineChars="200"/>
        <w:jc w:val="left"/>
        <w:rPr>
          <w:rFonts w:hint="eastAsia" w:ascii="宋体" w:cs="宋体"/>
          <w:strike w:val="0"/>
          <w:dstrike w:val="0"/>
          <w:color w:val="auto"/>
          <w:szCs w:val="21"/>
          <w:highlight w:val="none"/>
        </w:rPr>
      </w:pPr>
      <w:r>
        <w:rPr>
          <w:rFonts w:hint="eastAsia" w:ascii="宋体" w:cs="宋体"/>
          <w:strike w:val="0"/>
          <w:dstrike w:val="0"/>
          <w:color w:val="auto"/>
          <w:szCs w:val="21"/>
          <w:highlight w:val="none"/>
        </w:rPr>
        <w:t>7.5.1 因发包人原因导致工期延误</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（7）因发包人原因导致工期延误的其他情形：</w:t>
      </w:r>
      <w:r>
        <w:rPr>
          <w:rFonts w:hint="eastAsia" w:ascii="宋体" w:cs="宋体"/>
          <w:color w:val="auto"/>
          <w:szCs w:val="21"/>
          <w:highlight w:val="none"/>
          <w:u w:val="single"/>
        </w:rPr>
        <w:t xml:space="preserve"> 无 。</w:t>
      </w:r>
      <w:r>
        <w:rPr>
          <w:rFonts w:hint="eastAsia" w:ascii="宋体" w:cs="宋体"/>
          <w:color w:val="auto"/>
          <w:szCs w:val="21"/>
          <w:highlight w:val="none"/>
        </w:rPr>
        <w:t xml:space="preserve">        </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7.5.2 因承包人原因导致工期延误</w:t>
      </w:r>
    </w:p>
    <w:p>
      <w:pPr>
        <w:pStyle w:val="2"/>
        <w:spacing w:after="0" w:line="440" w:lineRule="exact"/>
        <w:ind w:left="0" w:leftChars="0"/>
        <w:rPr>
          <w:rFonts w:hint="eastAsia"/>
          <w:color w:val="auto"/>
          <w:highlight w:val="none"/>
        </w:rPr>
      </w:pPr>
      <w:r>
        <w:rPr>
          <w:rFonts w:hint="eastAsia"/>
          <w:color w:val="auto"/>
          <w:highlight w:val="none"/>
        </w:rPr>
        <w:t>因承包人原因造成工期延误，逾期竣工违约金的计算方法为：</w:t>
      </w:r>
      <w:r>
        <w:rPr>
          <w:rFonts w:hint="eastAsia"/>
          <w:color w:val="auto"/>
          <w:highlight w:val="none"/>
          <w:u w:val="single"/>
        </w:rPr>
        <w:t xml:space="preserve">  因承包人原因造成合同工期延误，每延误一天，</w:t>
      </w:r>
      <w:r>
        <w:rPr>
          <w:rFonts w:hint="eastAsia"/>
          <w:color w:val="auto"/>
          <w:highlight w:val="none"/>
          <w:u w:val="single"/>
          <w:lang w:val="en-US" w:eastAsia="zh-CN"/>
        </w:rPr>
        <w:t>处以5000</w:t>
      </w:r>
      <w:r>
        <w:rPr>
          <w:rFonts w:hint="eastAsia"/>
          <w:color w:val="auto"/>
          <w:highlight w:val="none"/>
          <w:u w:val="single"/>
        </w:rPr>
        <w:t>元</w:t>
      </w:r>
      <w:r>
        <w:rPr>
          <w:rFonts w:hint="eastAsia"/>
          <w:color w:val="auto"/>
          <w:highlight w:val="none"/>
          <w:u w:val="single"/>
          <w:lang w:val="en-US" w:eastAsia="zh-CN"/>
        </w:rPr>
        <w:t>违约金</w:t>
      </w:r>
      <w:r>
        <w:rPr>
          <w:rFonts w:hint="eastAsia"/>
          <w:color w:val="auto"/>
          <w:highlight w:val="none"/>
          <w:u w:val="single"/>
        </w:rPr>
        <w:t>；月工程量未完成的当期不得请款，当月未完成的工程量纳入下月一并完成，完不成的仍不予请款，依此类推。连续两个月工程量未完成的立即限制承包人一年内不得参与发包人项目投标。</w:t>
      </w:r>
    </w:p>
    <w:p>
      <w:pPr>
        <w:pStyle w:val="2"/>
        <w:spacing w:after="0" w:line="440" w:lineRule="exact"/>
        <w:ind w:left="0" w:leftChars="0"/>
        <w:rPr>
          <w:rFonts w:hint="eastAsia"/>
          <w:color w:val="auto"/>
          <w:highlight w:val="none"/>
        </w:rPr>
      </w:pPr>
      <w:r>
        <w:rPr>
          <w:rFonts w:hint="eastAsia"/>
          <w:color w:val="auto"/>
          <w:highlight w:val="none"/>
        </w:rPr>
        <w:t>因承包人原因造成工期延误，逾期竣工违约金的上限：</w:t>
      </w:r>
      <w:r>
        <w:rPr>
          <w:rFonts w:hint="eastAsia"/>
          <w:color w:val="auto"/>
          <w:highlight w:val="none"/>
          <w:u w:val="single"/>
        </w:rPr>
        <w:t xml:space="preserve"> 全额履约保证金 </w:t>
      </w:r>
      <w:r>
        <w:rPr>
          <w:rFonts w:hint="eastAsia"/>
          <w:color w:val="auto"/>
          <w:highlight w:val="none"/>
        </w:rPr>
        <w:t>。</w:t>
      </w:r>
    </w:p>
    <w:p>
      <w:pPr>
        <w:rPr>
          <w:rFonts w:hint="eastAsia"/>
          <w:color w:val="auto"/>
          <w:highlight w:val="none"/>
          <w:lang w:val="en-US" w:eastAsia="zh-CN"/>
        </w:rPr>
      </w:pPr>
      <w:r>
        <w:rPr>
          <w:rFonts w:hint="eastAsia"/>
          <w:color w:val="auto"/>
          <w:highlight w:val="none"/>
          <w:lang w:val="en-US" w:eastAsia="zh-CN"/>
        </w:rPr>
        <w:t>工期延误累计15天及以上，业主有权单方面无偿解除合同。</w:t>
      </w:r>
    </w:p>
    <w:p>
      <w:pPr>
        <w:pStyle w:val="2"/>
        <w:ind w:left="0" w:leftChars="0" w:firstLine="0" w:firstLineChars="0"/>
        <w:rPr>
          <w:rFonts w:hint="default"/>
          <w:highlight w:val="none"/>
          <w:lang w:val="en-US" w:eastAsia="zh-CN"/>
        </w:rPr>
      </w:pPr>
      <w:r>
        <w:rPr>
          <w:rFonts w:hint="eastAsia"/>
          <w:highlight w:val="none"/>
          <w:lang w:val="en-US" w:eastAsia="zh-CN"/>
        </w:rPr>
        <w:t xml:space="preserve">   本项目外围涉及施工协调一切问题由承包人负责。</w:t>
      </w:r>
    </w:p>
    <w:p>
      <w:pPr>
        <w:pStyle w:val="2"/>
        <w:spacing w:after="0" w:line="440" w:lineRule="exact"/>
        <w:ind w:left="0" w:leftChars="0"/>
        <w:rPr>
          <w:rFonts w:hint="eastAsia" w:cs="宋体"/>
          <w:color w:val="auto"/>
          <w:szCs w:val="21"/>
          <w:highlight w:val="none"/>
        </w:rPr>
      </w:pPr>
      <w:r>
        <w:rPr>
          <w:rFonts w:hint="eastAsia" w:cs="宋体"/>
          <w:bCs/>
          <w:color w:val="auto"/>
          <w:szCs w:val="21"/>
          <w:highlight w:val="none"/>
        </w:rPr>
        <w:t>业主单位根据拖延工期的严重程度采用以下方法处理:</w:t>
      </w:r>
    </w:p>
    <w:p>
      <w:pPr>
        <w:widowControl/>
        <w:snapToGrid w:val="0"/>
        <w:spacing w:line="440" w:lineRule="exact"/>
        <w:ind w:firstLine="420" w:firstLineChars="200"/>
        <w:rPr>
          <w:rFonts w:hint="eastAsia" w:ascii="宋体" w:cs="宋体"/>
          <w:bCs/>
          <w:color w:val="auto"/>
          <w:szCs w:val="21"/>
          <w:highlight w:val="none"/>
          <w:u w:val="single"/>
        </w:rPr>
      </w:pPr>
      <w:r>
        <w:rPr>
          <w:rFonts w:hint="eastAsia" w:ascii="宋体" w:cs="宋体"/>
          <w:color w:val="auto"/>
          <w:szCs w:val="21"/>
          <w:highlight w:val="none"/>
          <w:u w:val="single"/>
        </w:rPr>
        <w:t>（1）</w:t>
      </w:r>
      <w:r>
        <w:rPr>
          <w:rFonts w:hint="eastAsia" w:ascii="宋体" w:cs="宋体"/>
          <w:bCs/>
          <w:color w:val="auto"/>
          <w:szCs w:val="21"/>
          <w:highlight w:val="none"/>
          <w:u w:val="single"/>
        </w:rPr>
        <w:t>督促承包人采取有效的赶工措施（费用自理）；</w:t>
      </w:r>
    </w:p>
    <w:p>
      <w:pPr>
        <w:widowControl/>
        <w:snapToGrid w:val="0"/>
        <w:spacing w:line="440" w:lineRule="exact"/>
        <w:ind w:firstLine="420" w:firstLineChars="200"/>
        <w:rPr>
          <w:rFonts w:hint="eastAsia" w:ascii="宋体" w:hAnsi="Times New Roman" w:eastAsia="宋体" w:cs="宋体"/>
          <w:bCs/>
          <w:color w:val="auto"/>
          <w:szCs w:val="21"/>
          <w:highlight w:val="none"/>
          <w:u w:val="single"/>
        </w:rPr>
      </w:pPr>
      <w:r>
        <w:rPr>
          <w:rFonts w:hint="eastAsia" w:ascii="宋体" w:hAnsi="Times New Roman" w:eastAsia="宋体" w:cs="宋体"/>
          <w:bCs/>
          <w:color w:val="auto"/>
          <w:szCs w:val="21"/>
          <w:highlight w:val="none"/>
          <w:u w:val="single"/>
        </w:rPr>
        <w:t>（2）发包人根据本项目总体施工计划对工程各分部分项工程的进度目标确定之后，承包人应采取各种措施确保本合同内各分部分项工程进度目标的实现，如果在工程实施某个分部分项工程，承包人的实际进度滞后该分部分项工程进度目标7天以上，并无法确保该分部分项工程进度目标的完成或承包人虽采取了一些措施，但仍无法按交工期交工时，监理工程师应立即通知发包人，并抄送承包人。发包人向承包人发出书面警告通知3天后，发包人有权终止合同，也可将本合同工程中的一部分或剩余工作交由其他承包人或指定分包人完成，因此所增加的一切费用由原承包人承担。</w:t>
      </w:r>
    </w:p>
    <w:p>
      <w:pPr>
        <w:widowControl/>
        <w:snapToGrid w:val="0"/>
        <w:spacing w:line="440" w:lineRule="exact"/>
        <w:ind w:firstLine="420" w:firstLineChars="200"/>
        <w:rPr>
          <w:rFonts w:hint="eastAsia" w:ascii="宋体" w:hAnsi="Times New Roman" w:eastAsia="宋体" w:cs="宋体"/>
          <w:bCs/>
          <w:color w:val="auto"/>
          <w:szCs w:val="21"/>
          <w:highlight w:val="none"/>
          <w:u w:val="single"/>
        </w:rPr>
      </w:pPr>
      <w:r>
        <w:rPr>
          <w:rFonts w:hint="eastAsia" w:ascii="宋体" w:hAnsi="Times New Roman" w:eastAsia="宋体" w:cs="宋体"/>
          <w:bCs/>
          <w:color w:val="auto"/>
          <w:szCs w:val="21"/>
          <w:highlight w:val="none"/>
          <w:u w:val="single"/>
        </w:rPr>
        <w:t>（3）对严重拖延工期，经发包人多次督促，承包人拒不执行的，发包人可中止施工合同，并和承包人进行清算。同时按原中</w:t>
      </w:r>
      <w:r>
        <w:rPr>
          <w:rFonts w:hint="eastAsia" w:ascii="宋体" w:hAnsi="Times New Roman" w:eastAsia="宋体" w:cs="宋体"/>
          <w:bCs/>
          <w:color w:val="auto"/>
          <w:szCs w:val="21"/>
          <w:highlight w:val="none"/>
          <w:u w:val="single"/>
          <w:lang w:val="en-US" w:eastAsia="zh-CN"/>
        </w:rPr>
        <w:t>标</w:t>
      </w:r>
      <w:r>
        <w:rPr>
          <w:rFonts w:hint="eastAsia" w:ascii="宋体" w:hAnsi="Times New Roman" w:eastAsia="宋体" w:cs="宋体"/>
          <w:bCs/>
          <w:color w:val="auto"/>
          <w:szCs w:val="21"/>
          <w:highlight w:val="none"/>
          <w:u w:val="single"/>
        </w:rPr>
        <w:t xml:space="preserve">价格另选同样资质的施工队伍进场施工，原承包人须无条件配合，不得以任何借口阻挠另选的施工队伍施工，不得向发包人提出任何索赔要求，详见补充条款。  </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7.6 不利物质条件</w:t>
      </w:r>
    </w:p>
    <w:p>
      <w:pPr>
        <w:snapToGrid w:val="0"/>
        <w:spacing w:line="440" w:lineRule="exact"/>
        <w:ind w:firstLine="420" w:firstLineChars="200"/>
        <w:jc w:val="left"/>
        <w:rPr>
          <w:rFonts w:ascii="宋体" w:cs="宋体"/>
          <w:color w:val="auto"/>
          <w:szCs w:val="21"/>
          <w:highlight w:val="none"/>
          <w:u w:val="single"/>
        </w:rPr>
      </w:pPr>
      <w:r>
        <w:rPr>
          <w:rFonts w:hint="eastAsia" w:ascii="宋体" w:cs="宋体"/>
          <w:color w:val="auto"/>
          <w:szCs w:val="21"/>
          <w:highlight w:val="none"/>
        </w:rPr>
        <w:t>不利物质条件的其他情形和有关约定：</w:t>
      </w:r>
      <w:r>
        <w:rPr>
          <w:rFonts w:hint="eastAsia" w:ascii="宋体" w:cs="宋体"/>
          <w:color w:val="auto"/>
          <w:szCs w:val="21"/>
          <w:highlight w:val="none"/>
          <w:u w:val="single"/>
        </w:rPr>
        <w:t xml:space="preserve"> 无  。</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7.7异常恶劣的气候条件</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发包人和承包人同意以下情形视为异常恶劣的气候条件：</w:t>
      </w:r>
    </w:p>
    <w:p>
      <w:pPr>
        <w:numPr>
          <w:ilvl w:val="0"/>
          <w:numId w:val="4"/>
        </w:numPr>
        <w:snapToGrid w:val="0"/>
        <w:spacing w:line="440" w:lineRule="exact"/>
        <w:ind w:firstLine="420" w:firstLineChars="200"/>
        <w:jc w:val="left"/>
        <w:rPr>
          <w:rFonts w:hint="eastAsia"/>
          <w:color w:val="auto"/>
          <w:highlight w:val="none"/>
        </w:rPr>
      </w:pP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numPr>
          <w:ilvl w:val="0"/>
          <w:numId w:val="4"/>
        </w:numPr>
        <w:snapToGrid w:val="0"/>
        <w:spacing w:line="440" w:lineRule="exact"/>
        <w:ind w:firstLine="420" w:firstLineChars="200"/>
        <w:jc w:val="left"/>
        <w:rPr>
          <w:rFonts w:hint="eastAsia"/>
          <w:color w:val="auto"/>
          <w:highlight w:val="none"/>
        </w:rPr>
      </w:pP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numPr>
          <w:ilvl w:val="0"/>
          <w:numId w:val="4"/>
        </w:numPr>
        <w:snapToGrid w:val="0"/>
        <w:spacing w:line="440" w:lineRule="exact"/>
        <w:ind w:firstLine="420" w:firstLineChars="200"/>
        <w:jc w:val="left"/>
        <w:rPr>
          <w:rFonts w:hint="eastAsia"/>
          <w:color w:val="auto"/>
          <w:highlight w:val="none"/>
        </w:rPr>
      </w:pP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snapToGrid w:val="0"/>
        <w:spacing w:line="44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7.9 提前竣工的奖励</w:t>
      </w:r>
    </w:p>
    <w:p>
      <w:pPr>
        <w:pStyle w:val="2"/>
        <w:spacing w:after="0" w:line="440" w:lineRule="exact"/>
        <w:ind w:left="0" w:leftChars="0"/>
        <w:rPr>
          <w:rFonts w:hint="eastAsia"/>
          <w:color w:val="auto"/>
          <w:highlight w:val="none"/>
        </w:rPr>
      </w:pPr>
      <w:r>
        <w:rPr>
          <w:rFonts w:hint="eastAsia"/>
          <w:color w:val="auto"/>
          <w:highlight w:val="none"/>
        </w:rPr>
        <w:t>7.9.2提前竣工的奖励：</w:t>
      </w:r>
      <w:r>
        <w:rPr>
          <w:rFonts w:hint="eastAsia"/>
          <w:color w:val="auto"/>
          <w:highlight w:val="none"/>
          <w:u w:val="single"/>
        </w:rPr>
        <w:t xml:space="preserve"> </w:t>
      </w:r>
      <w:r>
        <w:rPr>
          <w:rFonts w:hint="eastAsia"/>
          <w:color w:val="auto"/>
          <w:highlight w:val="none"/>
          <w:u w:val="single"/>
          <w:lang w:val="en-US" w:eastAsia="zh-CN"/>
        </w:rPr>
        <w:t>无</w:t>
      </w:r>
      <w:r>
        <w:rPr>
          <w:rFonts w:hint="eastAsia"/>
          <w:color w:val="auto"/>
          <w:highlight w:val="none"/>
          <w:u w:val="single"/>
        </w:rPr>
        <w:t xml:space="preserve"> </w:t>
      </w:r>
      <w:r>
        <w:rPr>
          <w:rFonts w:hint="eastAsia"/>
          <w:color w:val="auto"/>
          <w:highlight w:val="none"/>
        </w:rPr>
        <w:t>。</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8. 材料与设备</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8.4材料与工程设备的保管与使用</w:t>
      </w:r>
    </w:p>
    <w:p>
      <w:pPr>
        <w:snapToGrid w:val="0"/>
        <w:spacing w:line="440" w:lineRule="exact"/>
        <w:ind w:firstLine="420" w:firstLineChars="200"/>
        <w:jc w:val="left"/>
        <w:rPr>
          <w:rFonts w:hint="default" w:ascii="宋体" w:eastAsia="宋体" w:cs="宋体"/>
          <w:color w:val="auto"/>
          <w:szCs w:val="21"/>
          <w:highlight w:val="none"/>
          <w:u w:val="single"/>
          <w:lang w:val="en-US" w:eastAsia="zh-CN"/>
        </w:rPr>
      </w:pPr>
      <w:r>
        <w:rPr>
          <w:rFonts w:hint="eastAsia" w:ascii="宋体" w:cs="宋体"/>
          <w:color w:val="auto"/>
          <w:szCs w:val="21"/>
          <w:highlight w:val="none"/>
        </w:rPr>
        <w:t>8.4.1发包人供应的材料设备的保管费用的承担：</w:t>
      </w:r>
      <w:r>
        <w:rPr>
          <w:rFonts w:hint="eastAsia" w:ascii="宋体" w:cs="宋体"/>
          <w:color w:val="auto"/>
          <w:szCs w:val="21"/>
          <w:highlight w:val="none"/>
          <w:u w:val="single"/>
          <w:lang w:val="en-US" w:eastAsia="zh-CN"/>
        </w:rPr>
        <w:t>/</w:t>
      </w:r>
      <w:r>
        <w:rPr>
          <w:rFonts w:hint="eastAsia" w:ascii="宋体" w:cs="宋体"/>
          <w:color w:val="auto"/>
          <w:szCs w:val="21"/>
          <w:highlight w:val="none"/>
          <w:u w:val="none"/>
          <w:lang w:val="en-US" w:eastAsia="zh-CN"/>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8.6 样品</w:t>
      </w:r>
    </w:p>
    <w:p>
      <w:pPr>
        <w:autoSpaceDE w:val="0"/>
        <w:autoSpaceDN w:val="0"/>
        <w:adjustRightInd w:val="0"/>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8.6.1样品的报送与封存</w:t>
      </w:r>
    </w:p>
    <w:p>
      <w:pPr>
        <w:snapToGrid w:val="0"/>
        <w:spacing w:line="440" w:lineRule="exact"/>
        <w:ind w:firstLine="420" w:firstLineChars="200"/>
        <w:rPr>
          <w:rFonts w:hint="eastAsia" w:ascii="宋体" w:cs="宋体"/>
          <w:color w:val="auto"/>
          <w:szCs w:val="21"/>
          <w:highlight w:val="none"/>
          <w:u w:val="single"/>
        </w:rPr>
      </w:pPr>
      <w:r>
        <w:rPr>
          <w:rFonts w:hint="eastAsia" w:ascii="宋体" w:cs="宋体"/>
          <w:color w:val="auto"/>
          <w:szCs w:val="21"/>
          <w:highlight w:val="none"/>
        </w:rPr>
        <w:t>需要承包人报送样品的材料或工程设备，样品的种类、名称、规格、数量要求：</w:t>
      </w:r>
      <w:r>
        <w:rPr>
          <w:rFonts w:hint="eastAsia" w:ascii="宋体" w:cs="宋体"/>
          <w:color w:val="auto"/>
          <w:szCs w:val="21"/>
          <w:highlight w:val="none"/>
          <w:u w:val="single"/>
        </w:rPr>
        <w:t xml:space="preserve"> 执行</w:t>
      </w:r>
      <w:r>
        <w:rPr>
          <w:rFonts w:hint="eastAsia" w:ascii="宋体" w:cs="宋体"/>
          <w:color w:val="auto"/>
          <w:szCs w:val="21"/>
          <w:highlight w:val="none"/>
          <w:u w:val="single"/>
          <w:lang w:val="en-US" w:eastAsia="zh-CN"/>
        </w:rPr>
        <w:t>招标</w:t>
      </w:r>
      <w:r>
        <w:rPr>
          <w:rFonts w:hint="eastAsia" w:ascii="宋体" w:cs="宋体"/>
          <w:color w:val="auto"/>
          <w:szCs w:val="21"/>
          <w:highlight w:val="none"/>
          <w:u w:val="single"/>
        </w:rPr>
        <w:t xml:space="preserve">文件。 </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8.8 施工设备和临时设施</w:t>
      </w:r>
    </w:p>
    <w:p>
      <w:pPr>
        <w:autoSpaceDE w:val="0"/>
        <w:autoSpaceDN w:val="0"/>
        <w:adjustRightInd w:val="0"/>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8.8.1 承包人提供的施工设备和临时设施</w:t>
      </w:r>
    </w:p>
    <w:p>
      <w:pPr>
        <w:autoSpaceDE w:val="0"/>
        <w:autoSpaceDN w:val="0"/>
        <w:adjustRightInd w:val="0"/>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关于修建临时设施费用承担的约定：</w:t>
      </w:r>
      <w:r>
        <w:rPr>
          <w:rFonts w:hint="eastAsia" w:ascii="宋体" w:cs="宋体"/>
          <w:color w:val="auto"/>
          <w:szCs w:val="21"/>
          <w:highlight w:val="none"/>
          <w:u w:val="single"/>
        </w:rPr>
        <w:t xml:space="preserve">  由承包人自行承担费用   </w:t>
      </w:r>
      <w:r>
        <w:rPr>
          <w:rFonts w:hint="eastAsia" w:ascii="宋体" w:cs="宋体"/>
          <w:color w:val="auto"/>
          <w:szCs w:val="21"/>
          <w:highlight w:val="none"/>
        </w:rPr>
        <w:t>。</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9. 试验与检验</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9.1试验设备与试验人员</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9.1.2 试验设备</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施工现场需要配置的试验场所：</w:t>
      </w:r>
      <w:r>
        <w:rPr>
          <w:rFonts w:hint="eastAsia" w:ascii="宋体" w:cs="宋体"/>
          <w:color w:val="auto"/>
          <w:szCs w:val="21"/>
          <w:highlight w:val="none"/>
          <w:u w:val="single"/>
        </w:rPr>
        <w:t xml:space="preserve">   执行</w:t>
      </w:r>
      <w:r>
        <w:rPr>
          <w:rFonts w:hint="eastAsia" w:ascii="宋体" w:cs="宋体"/>
          <w:color w:val="auto"/>
          <w:szCs w:val="21"/>
          <w:highlight w:val="none"/>
          <w:u w:val="single"/>
          <w:lang w:val="en-US" w:eastAsia="zh-CN"/>
        </w:rPr>
        <w:t>招标</w:t>
      </w:r>
      <w:r>
        <w:rPr>
          <w:rFonts w:hint="eastAsia" w:ascii="宋体" w:cs="宋体"/>
          <w:color w:val="auto"/>
          <w:szCs w:val="21"/>
          <w:highlight w:val="none"/>
          <w:u w:val="single"/>
        </w:rPr>
        <w:t xml:space="preserve">文件   </w:t>
      </w:r>
      <w:r>
        <w:rPr>
          <w:rFonts w:hint="eastAsia" w:ascii="宋体" w:cs="宋体"/>
          <w:color w:val="auto"/>
          <w:szCs w:val="21"/>
          <w:highlight w:val="none"/>
        </w:rPr>
        <w:t xml:space="preserve">。 </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施工现场需要配备的试验设备：</w:t>
      </w:r>
      <w:r>
        <w:rPr>
          <w:rFonts w:hint="eastAsia" w:ascii="宋体" w:cs="宋体"/>
          <w:color w:val="auto"/>
          <w:szCs w:val="21"/>
          <w:highlight w:val="none"/>
          <w:u w:val="single"/>
        </w:rPr>
        <w:t xml:space="preserve">   执行</w:t>
      </w:r>
      <w:r>
        <w:rPr>
          <w:rFonts w:hint="eastAsia" w:ascii="宋体" w:cs="宋体"/>
          <w:color w:val="auto"/>
          <w:szCs w:val="21"/>
          <w:highlight w:val="none"/>
          <w:u w:val="single"/>
          <w:lang w:val="en-US" w:eastAsia="zh-CN"/>
        </w:rPr>
        <w:t>招标</w:t>
      </w:r>
      <w:r>
        <w:rPr>
          <w:rFonts w:hint="eastAsia" w:ascii="宋体" w:cs="宋体"/>
          <w:color w:val="auto"/>
          <w:szCs w:val="21"/>
          <w:highlight w:val="none"/>
          <w:u w:val="single"/>
        </w:rPr>
        <w:t xml:space="preserve">文件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施工现场需要具备的其他试验条件：</w:t>
      </w:r>
      <w:r>
        <w:rPr>
          <w:rFonts w:hint="eastAsia" w:ascii="宋体" w:cs="宋体"/>
          <w:color w:val="auto"/>
          <w:szCs w:val="21"/>
          <w:highlight w:val="none"/>
          <w:u w:val="single"/>
        </w:rPr>
        <w:t xml:space="preserve">   执行</w:t>
      </w:r>
      <w:r>
        <w:rPr>
          <w:rFonts w:hint="eastAsia" w:ascii="宋体" w:cs="宋体"/>
          <w:color w:val="auto"/>
          <w:szCs w:val="21"/>
          <w:highlight w:val="none"/>
          <w:u w:val="single"/>
          <w:lang w:val="en-US" w:eastAsia="zh-CN"/>
        </w:rPr>
        <w:t>招标</w:t>
      </w:r>
      <w:r>
        <w:rPr>
          <w:rFonts w:hint="eastAsia" w:ascii="宋体" w:cs="宋体"/>
          <w:color w:val="auto"/>
          <w:szCs w:val="21"/>
          <w:highlight w:val="none"/>
          <w:u w:val="single"/>
        </w:rPr>
        <w:t xml:space="preserve">文件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 xml:space="preserve">9.4 现场工艺试验 </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现场工艺试验的有关约定：</w:t>
      </w:r>
      <w:r>
        <w:rPr>
          <w:rFonts w:hint="eastAsia" w:ascii="宋体" w:cs="宋体"/>
          <w:color w:val="auto"/>
          <w:szCs w:val="21"/>
          <w:highlight w:val="none"/>
          <w:u w:val="single"/>
        </w:rPr>
        <w:t xml:space="preserve">   按</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 xml:space="preserve">指示    </w:t>
      </w:r>
      <w:r>
        <w:rPr>
          <w:rFonts w:hint="eastAsia" w:ascii="宋体" w:cs="宋体"/>
          <w:color w:val="auto"/>
          <w:szCs w:val="21"/>
          <w:highlight w:val="none"/>
        </w:rPr>
        <w:t>。</w:t>
      </w:r>
    </w:p>
    <w:p>
      <w:pPr>
        <w:pStyle w:val="9"/>
        <w:snapToGrid w:val="0"/>
        <w:spacing w:before="0" w:after="0" w:line="440" w:lineRule="exact"/>
        <w:ind w:firstLine="420"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10. 变更</w:t>
      </w:r>
    </w:p>
    <w:p>
      <w:pPr>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10.1变更的范围</w:t>
      </w:r>
    </w:p>
    <w:p>
      <w:pPr>
        <w:snapToGrid w:val="0"/>
        <w:spacing w:line="44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关于变更范围的约定：</w:t>
      </w:r>
      <w:r>
        <w:rPr>
          <w:rFonts w:hint="eastAsia" w:ascii="宋体" w:hAnsi="宋体" w:cs="宋体"/>
          <w:b/>
          <w:color w:val="auto"/>
          <w:szCs w:val="21"/>
          <w:highlight w:val="none"/>
          <w:u w:val="single"/>
        </w:rPr>
        <w:t>执行合同通用条款</w:t>
      </w:r>
      <w:r>
        <w:rPr>
          <w:rFonts w:hint="eastAsia" w:ascii="宋体" w:hAnsi="宋体" w:cs="宋体"/>
          <w:b/>
          <w:bCs/>
          <w:color w:val="auto"/>
          <w:szCs w:val="21"/>
          <w:highlight w:val="none"/>
          <w:u w:val="single"/>
        </w:rPr>
        <w:t>。</w:t>
      </w:r>
    </w:p>
    <w:p>
      <w:pPr>
        <w:snapToGri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10.4 变更估价</w:t>
      </w:r>
    </w:p>
    <w:p>
      <w:pPr>
        <w:snapToGrid w:val="0"/>
        <w:spacing w:line="44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10.4.1变更估价原则</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 xml:space="preserve">   </w:t>
      </w:r>
      <w:r>
        <w:rPr>
          <w:rFonts w:hint="eastAsia" w:ascii="宋体" w:hAnsi="宋体" w:cs="宋体"/>
          <w:color w:val="auto"/>
          <w:szCs w:val="21"/>
          <w:highlight w:val="none"/>
        </w:rPr>
        <w:t>关于变更估价的约定:</w:t>
      </w:r>
    </w:p>
    <w:p>
      <w:pPr>
        <w:pStyle w:val="2"/>
        <w:spacing w:after="0" w:line="440" w:lineRule="exact"/>
        <w:ind w:left="0" w:leftChars="0" w:firstLine="422"/>
        <w:rPr>
          <w:rFonts w:hint="eastAsia" w:ascii="宋体" w:hAnsi="宋体" w:cs="宋体"/>
          <w:b/>
          <w:color w:val="auto"/>
          <w:highlight w:val="none"/>
          <w:u w:val="single"/>
        </w:rPr>
      </w:pPr>
      <w:r>
        <w:rPr>
          <w:rFonts w:hint="eastAsia" w:ascii="宋体" w:hAnsi="宋体" w:cs="宋体"/>
          <w:b/>
          <w:bCs/>
          <w:color w:val="auto"/>
          <w:szCs w:val="21"/>
          <w:highlight w:val="none"/>
          <w:u w:val="single"/>
        </w:rPr>
        <w:t>变更导致结算工程量减少0-100%</w:t>
      </w:r>
      <w:r>
        <w:rPr>
          <w:rFonts w:hint="eastAsia" w:hAnsi="宋体" w:cs="宋体"/>
          <w:b/>
          <w:bCs/>
          <w:color w:val="auto"/>
          <w:szCs w:val="21"/>
          <w:highlight w:val="none"/>
          <w:u w:val="single"/>
          <w:lang w:eastAsia="zh-CN"/>
        </w:rPr>
        <w:t>，</w:t>
      </w:r>
      <w:r>
        <w:rPr>
          <w:rFonts w:hint="eastAsia" w:hAnsi="宋体" w:cs="宋体"/>
          <w:b/>
          <w:bCs/>
          <w:color w:val="auto"/>
          <w:szCs w:val="21"/>
          <w:highlight w:val="none"/>
          <w:u w:val="single"/>
          <w:lang w:val="en-US" w:eastAsia="zh-CN"/>
        </w:rPr>
        <w:t>按实结算，</w:t>
      </w:r>
      <w:r>
        <w:rPr>
          <w:rFonts w:hint="eastAsia" w:ascii="宋体" w:hAnsi="宋体" w:cs="宋体"/>
          <w:b/>
          <w:bCs/>
          <w:color w:val="auto"/>
          <w:szCs w:val="21"/>
          <w:highlight w:val="none"/>
          <w:u w:val="single"/>
        </w:rPr>
        <w:t>执行下列第（1）款或第（2）款确定的单价</w:t>
      </w:r>
      <w:r>
        <w:rPr>
          <w:rFonts w:hint="eastAsia" w:hAnsi="宋体" w:cs="宋体"/>
          <w:b/>
          <w:bCs/>
          <w:color w:val="auto"/>
          <w:szCs w:val="21"/>
          <w:highlight w:val="none"/>
          <w:u w:val="single"/>
          <w:lang w:val="en-US" w:eastAsia="zh-CN"/>
        </w:rPr>
        <w:t>。工程量</w:t>
      </w:r>
      <w:r>
        <w:rPr>
          <w:rFonts w:hint="eastAsia" w:ascii="宋体" w:hAnsi="宋体" w:cs="宋体"/>
          <w:b/>
          <w:bCs/>
          <w:color w:val="auto"/>
          <w:szCs w:val="21"/>
          <w:highlight w:val="none"/>
          <w:u w:val="single"/>
        </w:rPr>
        <w:t>增加1</w:t>
      </w:r>
      <w:r>
        <w:rPr>
          <w:rFonts w:hint="eastAsia" w:hAnsi="宋体" w:cs="宋体"/>
          <w:b/>
          <w:bCs/>
          <w:color w:val="auto"/>
          <w:szCs w:val="21"/>
          <w:highlight w:val="none"/>
          <w:u w:val="single"/>
          <w:lang w:val="en-US" w:eastAsia="zh-CN"/>
        </w:rPr>
        <w:t>0</w:t>
      </w:r>
      <w:r>
        <w:rPr>
          <w:rFonts w:hint="eastAsia" w:ascii="宋体" w:hAnsi="宋体" w:cs="宋体"/>
          <w:b/>
          <w:bCs/>
          <w:color w:val="auto"/>
          <w:szCs w:val="21"/>
          <w:highlight w:val="none"/>
          <w:u w:val="single"/>
        </w:rPr>
        <w:t>%以内部分</w:t>
      </w:r>
      <w:r>
        <w:rPr>
          <w:rFonts w:hint="eastAsia" w:hAnsi="宋体" w:cs="宋体"/>
          <w:b/>
          <w:bCs/>
          <w:color w:val="auto"/>
          <w:szCs w:val="21"/>
          <w:highlight w:val="none"/>
          <w:u w:val="single"/>
          <w:lang w:eastAsia="zh-CN"/>
        </w:rPr>
        <w:t>，</w:t>
      </w:r>
      <w:r>
        <w:rPr>
          <w:rFonts w:hint="eastAsia" w:ascii="宋体" w:hAnsi="宋体" w:cs="宋体"/>
          <w:b/>
          <w:bCs/>
          <w:color w:val="auto"/>
          <w:szCs w:val="21"/>
          <w:highlight w:val="none"/>
          <w:u w:val="single"/>
          <w:lang w:val="en-US" w:eastAsia="zh-CN"/>
        </w:rPr>
        <w:t>工程量不予以调整，费用全部含在合同价中</w:t>
      </w:r>
      <w:r>
        <w:rPr>
          <w:rFonts w:hint="eastAsia" w:hAnsi="宋体" w:cs="宋体"/>
          <w:b/>
          <w:bCs/>
          <w:color w:val="auto"/>
          <w:szCs w:val="21"/>
          <w:highlight w:val="none"/>
          <w:u w:val="single"/>
          <w:lang w:val="en-US" w:eastAsia="zh-CN"/>
        </w:rPr>
        <w:t>。</w:t>
      </w:r>
      <w:r>
        <w:rPr>
          <w:rFonts w:hint="eastAsia" w:ascii="宋体" w:hAnsi="宋体" w:cs="宋体"/>
          <w:b/>
          <w:bCs/>
          <w:color w:val="auto"/>
          <w:szCs w:val="21"/>
          <w:highlight w:val="none"/>
          <w:u w:val="single"/>
          <w:lang w:val="en-US" w:eastAsia="zh-CN"/>
        </w:rPr>
        <w:t>工程量增加10%以上的，按实调整10%以上部分的工程量</w:t>
      </w:r>
      <w:r>
        <w:rPr>
          <w:rFonts w:hint="eastAsia" w:hAnsi="宋体" w:cs="宋体"/>
          <w:b/>
          <w:bCs/>
          <w:color w:val="auto"/>
          <w:szCs w:val="21"/>
          <w:highlight w:val="none"/>
          <w:u w:val="single"/>
          <w:lang w:val="en-US" w:eastAsia="zh-CN"/>
        </w:rPr>
        <w:t>，</w:t>
      </w:r>
      <w:r>
        <w:rPr>
          <w:rFonts w:hint="eastAsia" w:ascii="宋体" w:hAnsi="宋体" w:cs="宋体"/>
          <w:b/>
          <w:bCs/>
          <w:color w:val="auto"/>
          <w:szCs w:val="21"/>
          <w:highlight w:val="none"/>
          <w:u w:val="single"/>
        </w:rPr>
        <w:t>结算单价按第（1）款或第（2）款对应的最高限价单价×响应让利幅度计算，组价明显错误的予以纠正</w:t>
      </w:r>
      <w:r>
        <w:rPr>
          <w:rFonts w:hint="eastAsia" w:ascii="宋体" w:hAnsi="宋体" w:cs="宋体"/>
          <w:b/>
          <w:bCs/>
          <w:color w:val="auto"/>
          <w:szCs w:val="21"/>
          <w:highlight w:val="none"/>
          <w:u w:val="single"/>
        </w:rPr>
        <w:t>；</w:t>
      </w:r>
      <w:r>
        <w:rPr>
          <w:rFonts w:ascii="宋体" w:hAnsi="宋体" w:cs="宋体"/>
          <w:b/>
          <w:bCs/>
          <w:color w:val="auto"/>
          <w:szCs w:val="21"/>
          <w:highlight w:val="none"/>
          <w:u w:val="single"/>
        </w:rPr>
        <w:t>已标价工程量清单或预算书中无相同项目及类似项目单价的</w:t>
      </w:r>
      <w:r>
        <w:rPr>
          <w:rFonts w:hint="eastAsia" w:ascii="宋体" w:hAnsi="宋体" w:cs="宋体"/>
          <w:b/>
          <w:bCs/>
          <w:color w:val="auto"/>
          <w:szCs w:val="21"/>
          <w:highlight w:val="none"/>
          <w:u w:val="single"/>
        </w:rPr>
        <w:t>新增项目单价按照最高限价的编制原则重新组价×响应让利幅度（上述响应让利幅度为中</w:t>
      </w:r>
      <w:r>
        <w:rPr>
          <w:rFonts w:hint="eastAsia" w:ascii="宋体" w:hAnsi="宋体" w:cs="宋体"/>
          <w:b/>
          <w:bCs/>
          <w:color w:val="auto"/>
          <w:szCs w:val="21"/>
          <w:highlight w:val="none"/>
          <w:u w:val="single"/>
          <w:lang w:val="en-US" w:eastAsia="zh-CN"/>
        </w:rPr>
        <w:t>标</w:t>
      </w:r>
      <w:r>
        <w:rPr>
          <w:rFonts w:hint="eastAsia" w:ascii="宋体" w:hAnsi="宋体" w:cs="宋体"/>
          <w:b/>
          <w:bCs/>
          <w:color w:val="auto"/>
          <w:szCs w:val="21"/>
          <w:highlight w:val="none"/>
          <w:u w:val="single"/>
        </w:rPr>
        <w:t>价/最高限价，其中中</w:t>
      </w:r>
      <w:r>
        <w:rPr>
          <w:rFonts w:hint="eastAsia" w:ascii="宋体" w:hAnsi="宋体" w:cs="宋体"/>
          <w:b/>
          <w:bCs/>
          <w:color w:val="auto"/>
          <w:szCs w:val="21"/>
          <w:highlight w:val="none"/>
          <w:u w:val="single"/>
          <w:lang w:val="en-US" w:eastAsia="zh-CN"/>
        </w:rPr>
        <w:t>标</w:t>
      </w:r>
      <w:r>
        <w:rPr>
          <w:rFonts w:hint="eastAsia" w:ascii="宋体" w:hAnsi="宋体" w:cs="宋体"/>
          <w:b/>
          <w:bCs/>
          <w:color w:val="auto"/>
          <w:szCs w:val="21"/>
          <w:highlight w:val="none"/>
          <w:u w:val="single"/>
        </w:rPr>
        <w:t>价和最高限价均扣除暂列金额、暂估价及相应税金），结算价格最终以相关部门审核价为准；</w:t>
      </w:r>
    </w:p>
    <w:p>
      <w:pPr>
        <w:pStyle w:val="2"/>
        <w:spacing w:after="0" w:line="440" w:lineRule="exact"/>
        <w:ind w:left="0" w:leftChars="0" w:firstLine="422"/>
        <w:rPr>
          <w:rFonts w:hint="eastAsia" w:ascii="宋体" w:hAnsi="宋体" w:cs="宋体"/>
          <w:b/>
          <w:color w:val="auto"/>
          <w:highlight w:val="none"/>
          <w:u w:val="single"/>
        </w:rPr>
      </w:pPr>
      <w:r>
        <w:rPr>
          <w:rFonts w:hint="eastAsia" w:ascii="宋体" w:hAnsi="宋体" w:cs="宋体"/>
          <w:b/>
          <w:color w:val="auto"/>
          <w:highlight w:val="none"/>
          <w:u w:val="single"/>
        </w:rPr>
        <w:t>（1）已标价工程量清单或预算书有相同项目的，按照相同项目单价认定；</w:t>
      </w:r>
    </w:p>
    <w:p>
      <w:pPr>
        <w:autoSpaceDE w:val="0"/>
        <w:autoSpaceDN w:val="0"/>
        <w:adjustRightInd w:val="0"/>
        <w:spacing w:line="360" w:lineRule="auto"/>
        <w:ind w:firstLine="422" w:firstLineChars="200"/>
        <w:jc w:val="left"/>
        <w:rPr>
          <w:rFonts w:hint="eastAsia" w:ascii="宋体" w:hAnsi="宋体" w:cs="宋体"/>
          <w:b/>
          <w:bCs/>
          <w:color w:val="auto"/>
          <w:szCs w:val="21"/>
          <w:highlight w:val="none"/>
          <w:u w:val="single"/>
        </w:rPr>
      </w:pPr>
      <w:r>
        <w:rPr>
          <w:rFonts w:hint="eastAsia" w:ascii="宋体" w:hAnsi="宋体" w:cs="宋体"/>
          <w:b/>
          <w:bCs/>
          <w:color w:val="auto"/>
          <w:szCs w:val="21"/>
          <w:highlight w:val="none"/>
          <w:u w:val="single"/>
        </w:rPr>
        <w:t>（2）</w:t>
      </w:r>
      <w:r>
        <w:rPr>
          <w:rFonts w:hint="eastAsia" w:ascii="宋体" w:hAnsi="宋体" w:cs="宋体"/>
          <w:b/>
          <w:color w:val="auto"/>
          <w:highlight w:val="none"/>
          <w:u w:val="single"/>
        </w:rPr>
        <w:t>已标价工程量清单或预算书中无相同项目，但有类似项目的，参照类似项目的单价认定。</w:t>
      </w:r>
    </w:p>
    <w:p>
      <w:pPr>
        <w:snapToGrid w:val="0"/>
        <w:spacing w:line="440" w:lineRule="exact"/>
        <w:ind w:firstLine="420" w:firstLineChars="200"/>
        <w:rPr>
          <w:rFonts w:hint="eastAsia" w:ascii="宋体" w:hAnsi="宋体" w:cs="宋体"/>
          <w:b/>
          <w:color w:val="auto"/>
          <w:szCs w:val="21"/>
          <w:highlight w:val="none"/>
          <w:u w:val="single"/>
        </w:rPr>
      </w:pPr>
      <w:r>
        <w:rPr>
          <w:rFonts w:hint="eastAsia" w:ascii="宋体" w:hAnsi="宋体" w:cs="宋体"/>
          <w:color w:val="auto"/>
          <w:szCs w:val="21"/>
          <w:highlight w:val="none"/>
        </w:rPr>
        <w:t>技术措施费调整：</w:t>
      </w:r>
      <w:r>
        <w:rPr>
          <w:rFonts w:hint="eastAsia" w:ascii="宋体" w:hAnsi="宋体" w:cs="宋体"/>
          <w:b/>
          <w:color w:val="auto"/>
          <w:szCs w:val="21"/>
          <w:highlight w:val="none"/>
          <w:u w:val="single"/>
        </w:rPr>
        <w:t xml:space="preserve"> </w:t>
      </w:r>
      <w:r>
        <w:rPr>
          <w:rFonts w:hint="eastAsia" w:ascii="宋体" w:hAnsi="宋体" w:cs="宋体"/>
          <w:b/>
          <w:color w:val="auto"/>
          <w:szCs w:val="21"/>
          <w:highlight w:val="none"/>
          <w:u w:val="single"/>
          <w:lang w:val="en-US" w:eastAsia="zh-CN"/>
        </w:rPr>
        <w:t>不调整</w:t>
      </w:r>
      <w:r>
        <w:rPr>
          <w:rFonts w:hint="eastAsia" w:ascii="宋体" w:hAnsi="宋体" w:cs="宋体"/>
          <w:b/>
          <w:color w:val="auto"/>
          <w:szCs w:val="21"/>
          <w:highlight w:val="none"/>
          <w:u w:val="single"/>
        </w:rPr>
        <w:t>。</w:t>
      </w:r>
    </w:p>
    <w:p>
      <w:pPr>
        <w:snapToGrid w:val="0"/>
        <w:spacing w:line="44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组织措施费调整：</w:t>
      </w:r>
      <w:r>
        <w:rPr>
          <w:rFonts w:hint="eastAsia" w:ascii="宋体" w:hAnsi="宋体" w:cs="宋体"/>
          <w:b/>
          <w:color w:val="auto"/>
          <w:szCs w:val="21"/>
          <w:highlight w:val="none"/>
          <w:u w:val="single"/>
          <w:lang w:val="en-US" w:eastAsia="zh-CN"/>
        </w:rPr>
        <w:t xml:space="preserve"> 不调整</w:t>
      </w:r>
      <w:r>
        <w:rPr>
          <w:rFonts w:hint="eastAsia" w:ascii="宋体" w:hAnsi="宋体" w:cs="宋体"/>
          <w:b/>
          <w:color w:val="auto"/>
          <w:szCs w:val="21"/>
          <w:highlight w:val="none"/>
          <w:u w:val="singl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10.5承包人的合理化建议</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lang w:eastAsia="zh-CN"/>
        </w:rPr>
        <w:t>发包人</w:t>
      </w:r>
      <w:r>
        <w:rPr>
          <w:rFonts w:hint="eastAsia" w:ascii="宋体" w:cs="宋体"/>
          <w:color w:val="auto"/>
          <w:szCs w:val="21"/>
          <w:highlight w:val="none"/>
        </w:rPr>
        <w:t>审查承包人合理化建议的期限：</w:t>
      </w:r>
      <w:r>
        <w:rPr>
          <w:rFonts w:hint="eastAsia" w:ascii="宋体" w:cs="宋体"/>
          <w:color w:val="auto"/>
          <w:szCs w:val="21"/>
          <w:highlight w:val="none"/>
          <w:u w:val="single"/>
        </w:rPr>
        <w:t xml:space="preserve"> </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应在收到承包人提交的合理化建议后7天内审查完毕并报送发包人，发现其中存在技术上的缺陷，应通知承包人修改。</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发包人审批承包人合理化建议的期限：</w:t>
      </w:r>
      <w:r>
        <w:rPr>
          <w:rFonts w:hint="eastAsia" w:ascii="宋体" w:cs="宋体"/>
          <w:color w:val="auto"/>
          <w:szCs w:val="21"/>
          <w:highlight w:val="none"/>
          <w:u w:val="single"/>
        </w:rPr>
        <w:t xml:space="preserve"> 发包人应在收到</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报送的合理化建议后7天内审批完毕。合理化建议经发包人批准的，</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应及时发出变更指示，由此引起的合同价格调整按照第10.4款〔变更估价〕约定执行。发包人不同意变更的，</w:t>
      </w:r>
      <w:r>
        <w:rPr>
          <w:rFonts w:hint="eastAsia" w:ascii="宋体" w:cs="宋体"/>
          <w:color w:val="auto"/>
          <w:szCs w:val="21"/>
          <w:highlight w:val="none"/>
          <w:u w:val="single"/>
          <w:lang w:eastAsia="zh-CN"/>
        </w:rPr>
        <w:t>发包人</w:t>
      </w:r>
      <w:r>
        <w:rPr>
          <w:rFonts w:hint="eastAsia" w:ascii="宋体" w:cs="宋体"/>
          <w:color w:val="auto"/>
          <w:szCs w:val="21"/>
          <w:highlight w:val="none"/>
          <w:u w:val="single"/>
        </w:rPr>
        <w:t>应书面通知承包人。</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承包人提出的合理化建议降低了合同价格或者提高了工程经济效益的奖励的方法和金额为：</w:t>
      </w:r>
      <w:r>
        <w:rPr>
          <w:rFonts w:hint="eastAsia" w:ascii="宋体" w:cs="宋体"/>
          <w:color w:val="auto"/>
          <w:szCs w:val="21"/>
          <w:highlight w:val="none"/>
          <w:lang w:val="en-US" w:eastAsia="zh-CN"/>
        </w:rPr>
        <w:t>无</w:t>
      </w:r>
      <w:r>
        <w:rPr>
          <w:rFonts w:hint="eastAsia"/>
          <w:color w:val="auto"/>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10.7 暂估价</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kern w:val="0"/>
          <w:szCs w:val="21"/>
          <w:highlight w:val="none"/>
        </w:rPr>
        <w:t>暂估价材料和工程设备的明细</w:t>
      </w:r>
      <w:r>
        <w:rPr>
          <w:rFonts w:hint="eastAsia" w:ascii="宋体" w:cs="宋体"/>
          <w:color w:val="auto"/>
          <w:kern w:val="0"/>
          <w:szCs w:val="21"/>
          <w:highlight w:val="none"/>
          <w:u w:val="single"/>
        </w:rPr>
        <w:t>详见《暂估价一览表》。</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10.7.1 依法必须招标的暂估价项目</w:t>
      </w:r>
    </w:p>
    <w:p>
      <w:pPr>
        <w:adjustRightInd w:val="0"/>
        <w:snapToGrid w:val="0"/>
        <w:spacing w:line="384" w:lineRule="auto"/>
        <w:ind w:firstLine="420" w:firstLineChars="200"/>
        <w:rPr>
          <w:rFonts w:hint="eastAsia" w:ascii="宋体" w:hAnsi="宋体" w:cs="宋体"/>
          <w:color w:val="auto"/>
          <w:highlight w:val="none"/>
        </w:rPr>
      </w:pPr>
      <w:r>
        <w:rPr>
          <w:rFonts w:hint="eastAsia" w:ascii="宋体" w:hAnsi="宋体" w:cs="宋体"/>
          <w:color w:val="auto"/>
          <w:highlight w:val="none"/>
        </w:rPr>
        <w:t>对于依法必须招标的暂估价项目的确认和批准采取第</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种方式确定。</w:t>
      </w:r>
      <w:r>
        <w:rPr>
          <w:rFonts w:hint="eastAsia" w:ascii="宋体" w:hAnsi="宋体" w:cs="宋体"/>
          <w:b/>
          <w:color w:val="auto"/>
          <w:highlight w:val="none"/>
          <w:u w:val="single"/>
        </w:rPr>
        <w:t xml:space="preserve">并应按相关规定进行二次招标  </w:t>
      </w:r>
      <w:r>
        <w:rPr>
          <w:rFonts w:hint="eastAsia" w:ascii="宋体" w:hAnsi="宋体" w:cs="宋体"/>
          <w:color w:val="auto"/>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10.7.2 不属于依法必须招标的暂估价项目</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u w:val="single"/>
        </w:rPr>
        <w:t>对于不属于依法必须招标的暂估价项目的确认和批准采取询价或共同交易方式确定。</w:t>
      </w:r>
    </w:p>
    <w:p>
      <w:pPr>
        <w:pStyle w:val="2"/>
        <w:spacing w:after="0" w:line="440" w:lineRule="exact"/>
        <w:ind w:left="0" w:leftChars="0"/>
        <w:rPr>
          <w:rFonts w:hint="eastAsia"/>
          <w:color w:val="auto"/>
          <w:highlight w:val="none"/>
        </w:rPr>
      </w:pPr>
      <w:r>
        <w:rPr>
          <w:rFonts w:hint="eastAsia"/>
          <w:color w:val="auto"/>
          <w:highlight w:val="none"/>
        </w:rPr>
        <w:t>第3种方式：承包人直接实施的暂估价项目</w:t>
      </w:r>
    </w:p>
    <w:p>
      <w:pPr>
        <w:pStyle w:val="2"/>
        <w:spacing w:after="0" w:line="440" w:lineRule="exact"/>
        <w:ind w:left="0" w:leftChars="0"/>
        <w:rPr>
          <w:rFonts w:hint="eastAsia"/>
          <w:color w:val="auto"/>
          <w:highlight w:val="none"/>
        </w:rPr>
      </w:pPr>
      <w:r>
        <w:rPr>
          <w:rFonts w:hint="eastAsia"/>
          <w:color w:val="auto"/>
          <w:highlight w:val="none"/>
        </w:rPr>
        <w:t>承包人直接实施的暂估价项目的约定：</w:t>
      </w:r>
      <w:r>
        <w:rPr>
          <w:rFonts w:hint="eastAsia"/>
          <w:color w:val="auto"/>
          <w:highlight w:val="none"/>
          <w:u w:val="single"/>
        </w:rPr>
        <w:t xml:space="preserve">   无    。</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10.8 暂列金额</w:t>
      </w:r>
    </w:p>
    <w:p>
      <w:pPr>
        <w:autoSpaceDE w:val="0"/>
        <w:autoSpaceDN w:val="0"/>
        <w:adjustRightInd w:val="0"/>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kern w:val="0"/>
          <w:szCs w:val="21"/>
          <w:highlight w:val="none"/>
        </w:rPr>
        <w:t>合同当事人关于暂列金额使用的约定：</w:t>
      </w:r>
      <w:r>
        <w:rPr>
          <w:rFonts w:hint="eastAsia" w:ascii="宋体" w:cs="宋体"/>
          <w:color w:val="auto"/>
          <w:szCs w:val="21"/>
          <w:highlight w:val="none"/>
          <w:u w:val="single"/>
        </w:rPr>
        <w:t xml:space="preserve"> 暂列金额应按照发包人的要求使用。</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11. 价格调整</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11.1 市场价格波动引起的调整</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kern w:val="0"/>
          <w:szCs w:val="21"/>
          <w:highlight w:val="none"/>
        </w:rPr>
        <w:t>市场价格波动是否调整合同价格的约定：</w:t>
      </w:r>
      <w:r>
        <w:rPr>
          <w:rFonts w:hint="eastAsia" w:ascii="宋体" w:cs="宋体"/>
          <w:color w:val="auto"/>
          <w:szCs w:val="21"/>
          <w:highlight w:val="none"/>
          <w:u w:val="single"/>
        </w:rPr>
        <w:t xml:space="preserve"> 不调整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因市场价格波动调整合同价格，采用以下第</w:t>
      </w:r>
      <w:r>
        <w:rPr>
          <w:rFonts w:hint="eastAsia" w:ascii="宋体" w:cs="宋体"/>
          <w:color w:val="auto"/>
          <w:szCs w:val="21"/>
          <w:highlight w:val="none"/>
          <w:u w:val="single"/>
        </w:rPr>
        <w:t xml:space="preserve">  3  </w:t>
      </w:r>
      <w:r>
        <w:rPr>
          <w:rFonts w:hint="eastAsia" w:ascii="宋体" w:cs="宋体"/>
          <w:color w:val="auto"/>
          <w:szCs w:val="21"/>
          <w:highlight w:val="none"/>
        </w:rPr>
        <w:t>种方式对合同价格进行调整：</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第2种方式：采用造价信息进行价格调整。</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第3种方式：其他价格调整方式：</w:t>
      </w:r>
      <w:r>
        <w:rPr>
          <w:rFonts w:hint="eastAsia" w:ascii="宋体" w:cs="宋体"/>
          <w:color w:val="auto"/>
          <w:szCs w:val="21"/>
          <w:highlight w:val="none"/>
          <w:u w:val="single"/>
        </w:rPr>
        <w:t>不调整</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12. 合同价格、计量与支付</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12.1 合同价格形式</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1、单价合同。</w:t>
      </w:r>
    </w:p>
    <w:p>
      <w:pPr>
        <w:snapToGrid w:val="0"/>
        <w:spacing w:line="440" w:lineRule="exact"/>
        <w:ind w:firstLine="420" w:firstLineChars="200"/>
        <w:jc w:val="left"/>
        <w:rPr>
          <w:rFonts w:hint="eastAsia" w:ascii="宋体" w:cs="宋体"/>
          <w:b/>
          <w:color w:val="auto"/>
          <w:szCs w:val="21"/>
          <w:highlight w:val="none"/>
          <w:u w:val="single"/>
        </w:rPr>
      </w:pPr>
      <w:r>
        <w:rPr>
          <w:rFonts w:hint="eastAsia" w:ascii="宋体" w:cs="宋体"/>
          <w:color w:val="auto"/>
          <w:szCs w:val="21"/>
          <w:highlight w:val="none"/>
        </w:rPr>
        <w:t>综合单价包含的风险范围：</w:t>
      </w:r>
      <w:r>
        <w:rPr>
          <w:rFonts w:hint="eastAsia" w:ascii="黑体" w:eastAsia="黑体" w:cs="宋体"/>
          <w:b/>
          <w:color w:val="auto"/>
          <w:szCs w:val="21"/>
          <w:highlight w:val="none"/>
          <w:u w:val="single"/>
        </w:rPr>
        <w:t>各种因素引起的</w:t>
      </w:r>
      <w:r>
        <w:rPr>
          <w:rFonts w:hint="eastAsia" w:ascii="宋体" w:cs="宋体"/>
          <w:b/>
          <w:color w:val="auto"/>
          <w:szCs w:val="21"/>
          <w:highlight w:val="none"/>
          <w:u w:val="single"/>
        </w:rPr>
        <w:t>。</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风险费用的计算方法：</w:t>
      </w:r>
      <w:r>
        <w:rPr>
          <w:rFonts w:hint="eastAsia" w:ascii="宋体" w:cs="宋体"/>
          <w:color w:val="auto"/>
          <w:szCs w:val="21"/>
          <w:highlight w:val="none"/>
          <w:u w:val="single"/>
        </w:rPr>
        <w:t xml:space="preserve"> 不考虑  </w:t>
      </w:r>
    </w:p>
    <w:p>
      <w:pPr>
        <w:snapToGrid w:val="0"/>
        <w:spacing w:line="440" w:lineRule="exact"/>
        <w:ind w:firstLine="420" w:firstLineChars="200"/>
        <w:jc w:val="left"/>
        <w:rPr>
          <w:rFonts w:hint="eastAsia" w:ascii="宋体" w:hAnsi="宋体" w:cs="宋体"/>
          <w:color w:val="auto"/>
          <w:u w:val="single"/>
        </w:rPr>
      </w:pPr>
      <w:r>
        <w:rPr>
          <w:rFonts w:hint="eastAsia"/>
          <w:color w:val="auto"/>
          <w:highlight w:val="none"/>
        </w:rPr>
        <w:t>风险范围以外合同价格的调整方法：</w:t>
      </w:r>
      <w:r>
        <w:rPr>
          <w:rFonts w:hint="eastAsia" w:ascii="宋体" w:hAnsi="宋体" w:cs="宋体"/>
          <w:bCs/>
          <w:color w:val="auto"/>
          <w:szCs w:val="21"/>
          <w:highlight w:val="none"/>
          <w:u w:val="single"/>
        </w:rPr>
        <w:t xml:space="preserve">结算价=合同价±工程变更造价－暂列金额×1.09± 合理工程索赔。 </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12.2 预付款</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12.2.1 预付款的支付</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预付款支付比例或金额：</w:t>
      </w:r>
      <w:r>
        <w:rPr>
          <w:rFonts w:hint="eastAsia" w:ascii="宋体" w:cs="宋体"/>
          <w:color w:val="auto"/>
          <w:szCs w:val="21"/>
          <w:highlight w:val="none"/>
          <w:u w:val="single"/>
        </w:rPr>
        <w:t xml:space="preserve">   不考虑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预付款支付期限：</w:t>
      </w: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预付款扣回的方式：</w:t>
      </w: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12.2.2 预付款担保</w:t>
      </w:r>
    </w:p>
    <w:p>
      <w:pPr>
        <w:snapToGrid w:val="0"/>
        <w:spacing w:line="440" w:lineRule="exact"/>
        <w:ind w:firstLine="420" w:firstLineChars="200"/>
        <w:jc w:val="left"/>
        <w:rPr>
          <w:rFonts w:hint="eastAsia" w:ascii="宋体" w:eastAsia="宋体" w:cs="宋体"/>
          <w:color w:val="auto"/>
          <w:szCs w:val="21"/>
          <w:highlight w:val="none"/>
          <w:lang w:val="en-US" w:eastAsia="zh-CN"/>
        </w:rPr>
      </w:pPr>
      <w:r>
        <w:rPr>
          <w:rFonts w:hint="eastAsia" w:ascii="宋体" w:cs="宋体"/>
          <w:color w:val="auto"/>
          <w:szCs w:val="21"/>
          <w:highlight w:val="none"/>
        </w:rPr>
        <w:t>承包人提交预付款担保的期限：</w:t>
      </w: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预付款担保的形式为：</w:t>
      </w: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12.3 计量</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12.3.1 计量原则</w:t>
      </w:r>
    </w:p>
    <w:p>
      <w:pPr>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工程量计算规则：</w:t>
      </w:r>
      <w:r>
        <w:rPr>
          <w:rFonts w:hint="eastAsia" w:ascii="宋体" w:cs="宋体"/>
          <w:color w:val="auto"/>
          <w:szCs w:val="21"/>
          <w:highlight w:val="none"/>
          <w:u w:val="single"/>
        </w:rPr>
        <w:t>执行现行建设工程工程量清单计价规范（GB50500）、安徽省建设工程计价依据。</w:t>
      </w:r>
    </w:p>
    <w:p>
      <w:pPr>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12.3.2 计量周期</w:t>
      </w:r>
    </w:p>
    <w:p>
      <w:pPr>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关于计量周期的约定：</w:t>
      </w:r>
      <w:r>
        <w:rPr>
          <w:rFonts w:hint="eastAsia" w:ascii="宋体" w:cs="宋体"/>
          <w:color w:val="auto"/>
          <w:szCs w:val="21"/>
          <w:highlight w:val="none"/>
          <w:u w:val="single"/>
        </w:rPr>
        <w:t xml:space="preserve">   按月计量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12.3.3 单价合同的计量</w:t>
      </w:r>
    </w:p>
    <w:p>
      <w:pPr>
        <w:snapToGrid w:val="0"/>
        <w:spacing w:line="440" w:lineRule="exact"/>
        <w:ind w:firstLine="420" w:firstLineChars="200"/>
        <w:jc w:val="left"/>
        <w:rPr>
          <w:rFonts w:hint="default" w:ascii="宋体" w:eastAsia="宋体" w:cs="宋体"/>
          <w:color w:val="auto"/>
          <w:szCs w:val="21"/>
          <w:highlight w:val="none"/>
          <w:u w:val="single"/>
          <w:lang w:val="en-US" w:eastAsia="zh-CN"/>
        </w:rPr>
      </w:pPr>
      <w:r>
        <w:rPr>
          <w:rFonts w:hint="eastAsia" w:ascii="宋体" w:cs="宋体"/>
          <w:color w:val="auto"/>
          <w:szCs w:val="21"/>
          <w:highlight w:val="none"/>
        </w:rPr>
        <w:t>关于单价合同计量的约定：</w:t>
      </w:r>
      <w:r>
        <w:rPr>
          <w:rFonts w:hint="eastAsia" w:ascii="宋体" w:cs="宋体"/>
          <w:color w:val="auto"/>
          <w:szCs w:val="21"/>
          <w:highlight w:val="none"/>
          <w:u w:val="single"/>
          <w:lang w:val="en-US" w:eastAsia="zh-CN"/>
        </w:rPr>
        <w:t>按进度计量</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12.3.4 总价合同的计量</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关于总价合同计量的约定：</w:t>
      </w:r>
      <w:r>
        <w:rPr>
          <w:rFonts w:hint="eastAsia" w:ascii="宋体" w:cs="宋体"/>
          <w:color w:val="auto"/>
          <w:szCs w:val="21"/>
          <w:highlight w:val="none"/>
          <w:u w:val="single"/>
        </w:rPr>
        <w:t xml:space="preserve"> 不采用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12.3.5总价合同采用支付分解表计量支付的，是否适用第</w:t>
      </w:r>
      <w:r>
        <w:rPr>
          <w:rFonts w:hint="eastAsia" w:ascii="宋体" w:cs="宋体"/>
          <w:color w:val="auto"/>
          <w:kern w:val="0"/>
          <w:szCs w:val="21"/>
          <w:highlight w:val="none"/>
        </w:rPr>
        <w:t xml:space="preserve">12.3.4 </w:t>
      </w:r>
      <w:r>
        <w:rPr>
          <w:rFonts w:hint="eastAsia" w:ascii="宋体" w:cs="宋体"/>
          <w:color w:val="auto"/>
          <w:szCs w:val="21"/>
          <w:highlight w:val="none"/>
        </w:rPr>
        <w:t>项</w:t>
      </w:r>
      <w:r>
        <w:rPr>
          <w:rFonts w:hint="eastAsia" w:ascii="宋体" w:cs="宋体"/>
          <w:color w:val="auto"/>
          <w:kern w:val="0"/>
          <w:szCs w:val="21"/>
          <w:highlight w:val="none"/>
        </w:rPr>
        <w:t>〔总价合同的计量〕</w:t>
      </w:r>
      <w:r>
        <w:rPr>
          <w:rFonts w:hint="eastAsia" w:ascii="宋体" w:cs="宋体"/>
          <w:color w:val="auto"/>
          <w:szCs w:val="21"/>
          <w:highlight w:val="none"/>
        </w:rPr>
        <w:t>约定进行计量：</w:t>
      </w:r>
      <w:r>
        <w:rPr>
          <w:rFonts w:hint="eastAsia" w:ascii="宋体" w:cs="宋体"/>
          <w:color w:val="auto"/>
          <w:szCs w:val="21"/>
          <w:highlight w:val="none"/>
          <w:u w:val="single"/>
        </w:rPr>
        <w:t xml:space="preserve">   不采用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12.3.6 其他价格形式合同的计量</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其他价格形式的计量方式和程序：</w:t>
      </w:r>
      <w:r>
        <w:rPr>
          <w:rFonts w:hint="eastAsia" w:ascii="宋体" w:cs="宋体"/>
          <w:color w:val="auto"/>
          <w:szCs w:val="21"/>
          <w:highlight w:val="none"/>
          <w:u w:val="single"/>
        </w:rPr>
        <w:t xml:space="preserve">   不采用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12.4 工程进度款支付</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12.4.1 付款周期</w:t>
      </w:r>
    </w:p>
    <w:p>
      <w:pPr>
        <w:snapToGrid w:val="0"/>
        <w:spacing w:line="440" w:lineRule="exact"/>
        <w:ind w:firstLine="420" w:firstLineChars="200"/>
        <w:jc w:val="left"/>
        <w:rPr>
          <w:rFonts w:hint="eastAsia" w:ascii="宋体" w:cs="宋体"/>
          <w:color w:val="auto"/>
          <w:szCs w:val="21"/>
          <w:highlight w:val="none"/>
          <w:u w:val="single"/>
          <w:lang w:val="en-US" w:eastAsia="zh-CN"/>
        </w:rPr>
      </w:pPr>
      <w:r>
        <w:rPr>
          <w:rFonts w:hint="eastAsia" w:ascii="宋体" w:cs="宋体"/>
          <w:color w:val="auto"/>
          <w:szCs w:val="21"/>
          <w:highlight w:val="none"/>
          <w:u w:val="single"/>
        </w:rPr>
        <w:t>项目验收合格后支付</w:t>
      </w:r>
      <w:r>
        <w:rPr>
          <w:rFonts w:hint="eastAsia" w:ascii="宋体" w:cs="宋体"/>
          <w:color w:val="auto"/>
          <w:szCs w:val="21"/>
          <w:highlight w:val="none"/>
          <w:u w:val="single"/>
          <w:lang w:val="en-US" w:eastAsia="zh-CN"/>
        </w:rPr>
        <w:t>至</w:t>
      </w:r>
      <w:r>
        <w:rPr>
          <w:rFonts w:hint="eastAsia" w:ascii="宋体" w:cs="宋体"/>
          <w:color w:val="auto"/>
          <w:szCs w:val="21"/>
          <w:highlight w:val="none"/>
          <w:u w:val="single"/>
        </w:rPr>
        <w:t xml:space="preserve">合同价款的60%，审核完成后付至审核价款的98%，余款2%留作质保金，质保金在质保期(质保期从工程竣工验收合格之日起计算，一年)满后一周内付清(均无息）。质量保证金支持保函（银行保函、担保机构担保、保证保险）使用。采用保函的不再从工程进度款中扣留质量保证金，保函有效期须与工程缺陷责任期截止时间保持一致。  </w:t>
      </w:r>
      <w:r>
        <w:rPr>
          <w:rFonts w:hint="eastAsia" w:ascii="宋体" w:cs="宋体"/>
          <w:color w:val="auto"/>
          <w:szCs w:val="21"/>
          <w:highlight w:val="none"/>
          <w:u w:val="single"/>
          <w:lang w:val="en-US" w:eastAsia="zh-CN"/>
        </w:rPr>
        <w:t xml:space="preserve"> </w:t>
      </w:r>
    </w:p>
    <w:p>
      <w:pPr>
        <w:pStyle w:val="2"/>
        <w:rPr>
          <w:rFonts w:hint="eastAsia"/>
          <w:color w:val="auto"/>
          <w:lang w:eastAsia="zh-CN"/>
        </w:rPr>
      </w:pPr>
      <w:r>
        <w:rPr>
          <w:rFonts w:hint="eastAsia" w:hAnsi="宋体" w:cs="宋体"/>
          <w:color w:val="auto"/>
          <w:szCs w:val="21"/>
          <w:highlight w:val="none"/>
          <w:lang w:val="en-US" w:eastAsia="zh-CN"/>
        </w:rPr>
        <w:t>说明；竣工验收合格以业主委托具有资质的第三方检测机构出具的检测报告为准。</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12.4.2 进度付款申请单的编制</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关于进度付款申请单编制的约定：</w:t>
      </w:r>
      <w:r>
        <w:rPr>
          <w:rFonts w:hint="eastAsia" w:ascii="宋体" w:cs="宋体"/>
          <w:color w:val="auto"/>
          <w:szCs w:val="21"/>
          <w:highlight w:val="none"/>
          <w:u w:val="single"/>
        </w:rPr>
        <w:t>执行发包人统一内容格式。</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12.4.3 进度付款申请单的提交</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（1）单价合同进度付款申请单提交的约定：</w:t>
      </w:r>
      <w:r>
        <w:rPr>
          <w:rFonts w:hint="eastAsia" w:ascii="宋体" w:cs="宋体"/>
          <w:color w:val="auto"/>
          <w:szCs w:val="21"/>
          <w:highlight w:val="none"/>
          <w:u w:val="single"/>
        </w:rPr>
        <w:t xml:space="preserve"> </w:t>
      </w:r>
      <w:r>
        <w:rPr>
          <w:rFonts w:hint="eastAsia" w:ascii="宋体" w:hAnsi="宋体" w:cs="宋体"/>
          <w:color w:val="auto"/>
          <w:szCs w:val="21"/>
          <w:highlight w:val="none"/>
          <w:u w:val="single"/>
        </w:rPr>
        <w:t>无</w:t>
      </w:r>
      <w:r>
        <w:rPr>
          <w:rFonts w:hint="eastAsia" w:ascii="黑体" w:eastAsia="黑体" w:cs="宋体"/>
          <w:b/>
          <w:bCs/>
          <w:color w:val="auto"/>
          <w:szCs w:val="21"/>
          <w:highlight w:val="none"/>
          <w:u w:val="singl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（2）总价合同进度付款申请单提交的约定：</w:t>
      </w:r>
      <w:r>
        <w:rPr>
          <w:rFonts w:hint="eastAsia" w:ascii="宋体" w:cs="宋体"/>
          <w:color w:val="auto"/>
          <w:szCs w:val="21"/>
          <w:highlight w:val="none"/>
          <w:u w:val="single"/>
        </w:rPr>
        <w:t xml:space="preserve">   不采用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（3）其他价格形式合同进度付款申请单提交的约定：</w:t>
      </w:r>
      <w:r>
        <w:rPr>
          <w:rFonts w:hint="eastAsia" w:ascii="宋体" w:cs="宋体"/>
          <w:color w:val="auto"/>
          <w:szCs w:val="21"/>
          <w:highlight w:val="none"/>
          <w:u w:val="single"/>
        </w:rPr>
        <w:t xml:space="preserve">  不采用  </w:t>
      </w:r>
      <w:r>
        <w:rPr>
          <w:rFonts w:hint="eastAsia" w:ascii="宋体" w:cs="宋体"/>
          <w:color w:val="auto"/>
          <w:szCs w:val="21"/>
          <w:highlight w:val="none"/>
        </w:rPr>
        <w:t>。</w:t>
      </w:r>
    </w:p>
    <w:p>
      <w:pPr>
        <w:snapToGrid w:val="0"/>
        <w:spacing w:line="440" w:lineRule="exact"/>
        <w:ind w:firstLine="420" w:firstLineChars="200"/>
        <w:rPr>
          <w:rFonts w:hint="default" w:ascii="宋体" w:eastAsia="宋体" w:cs="宋体"/>
          <w:color w:val="auto"/>
          <w:szCs w:val="21"/>
          <w:highlight w:val="none"/>
          <w:lang w:val="en-US" w:eastAsia="zh-CN"/>
        </w:rPr>
      </w:pPr>
      <w:r>
        <w:rPr>
          <w:rFonts w:hint="eastAsia" w:ascii="宋体" w:cs="宋体"/>
          <w:color w:val="auto"/>
          <w:szCs w:val="21"/>
          <w:highlight w:val="none"/>
        </w:rPr>
        <w:t>12.4.4 进度款审核和支付</w:t>
      </w:r>
      <w:r>
        <w:rPr>
          <w:rFonts w:hint="eastAsia" w:ascii="宋体" w:cs="宋体"/>
          <w:color w:val="auto"/>
          <w:szCs w:val="21"/>
          <w:highlight w:val="none"/>
          <w:lang w:eastAsia="zh-CN"/>
        </w:rPr>
        <w:t>：</w:t>
      </w:r>
      <w:r>
        <w:rPr>
          <w:rFonts w:hint="eastAsia" w:ascii="宋体" w:cs="宋体"/>
          <w:color w:val="auto"/>
          <w:szCs w:val="21"/>
          <w:highlight w:val="none"/>
          <w:lang w:val="en-US" w:eastAsia="zh-CN"/>
        </w:rPr>
        <w:t>发包人审核无误后支付。</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12.4.6 支付分解表的编制</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2、总价合同支付分解表的编制与审批：</w:t>
      </w:r>
      <w:r>
        <w:rPr>
          <w:rFonts w:hint="eastAsia" w:ascii="宋体" w:cs="宋体"/>
          <w:color w:val="auto"/>
          <w:szCs w:val="21"/>
          <w:highlight w:val="none"/>
          <w:u w:val="single"/>
        </w:rPr>
        <w:t xml:space="preserve">   不采用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3、单价合同的总价项目支付分解表的编制与审批：</w:t>
      </w:r>
      <w:r>
        <w:rPr>
          <w:rFonts w:hint="eastAsia" w:ascii="宋体" w:cs="宋体"/>
          <w:color w:val="auto"/>
          <w:szCs w:val="21"/>
          <w:highlight w:val="none"/>
          <w:u w:val="single"/>
        </w:rPr>
        <w:t>执行发包人统一内容格式。</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13. 验收和工程试车</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13.1 分部分项工程验收</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13.1.2</w:t>
      </w:r>
      <w:r>
        <w:rPr>
          <w:rFonts w:hint="eastAsia" w:ascii="宋体" w:cs="宋体"/>
          <w:color w:val="auto"/>
          <w:szCs w:val="21"/>
          <w:highlight w:val="none"/>
          <w:lang w:eastAsia="zh-CN"/>
        </w:rPr>
        <w:t>发包人</w:t>
      </w:r>
      <w:r>
        <w:rPr>
          <w:rFonts w:hint="eastAsia" w:ascii="宋体" w:cs="宋体"/>
          <w:color w:val="auto"/>
          <w:szCs w:val="21"/>
          <w:highlight w:val="none"/>
        </w:rPr>
        <w:t>不能按时进行验收时，应提前</w:t>
      </w:r>
      <w:r>
        <w:rPr>
          <w:rFonts w:hint="eastAsia" w:ascii="宋体" w:cs="宋体"/>
          <w:color w:val="auto"/>
          <w:szCs w:val="21"/>
          <w:highlight w:val="none"/>
          <w:u w:val="single"/>
        </w:rPr>
        <w:t xml:space="preserve">  3  </w:t>
      </w:r>
      <w:r>
        <w:rPr>
          <w:rFonts w:hint="eastAsia" w:ascii="宋体" w:cs="宋体"/>
          <w:color w:val="auto"/>
          <w:szCs w:val="21"/>
          <w:highlight w:val="none"/>
        </w:rPr>
        <w:t>小时提交书面延期要求。</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关于延期最长不得超过：</w:t>
      </w:r>
      <w:r>
        <w:rPr>
          <w:rFonts w:hint="eastAsia" w:ascii="宋体" w:cs="宋体"/>
          <w:color w:val="auto"/>
          <w:szCs w:val="21"/>
          <w:highlight w:val="none"/>
          <w:u w:val="single"/>
        </w:rPr>
        <w:t xml:space="preserve"> 6  </w:t>
      </w:r>
      <w:r>
        <w:rPr>
          <w:rFonts w:hint="eastAsia" w:ascii="宋体" w:cs="宋体"/>
          <w:color w:val="auto"/>
          <w:szCs w:val="21"/>
          <w:highlight w:val="none"/>
        </w:rPr>
        <w:t>小时。</w:t>
      </w:r>
    </w:p>
    <w:p>
      <w:pPr>
        <w:wordWrap w:val="0"/>
        <w:snapToGrid w:val="0"/>
        <w:spacing w:line="440" w:lineRule="exact"/>
        <w:ind w:firstLine="420" w:firstLineChars="200"/>
        <w:textAlignment w:val="bottom"/>
        <w:rPr>
          <w:rFonts w:hint="eastAsia" w:ascii="宋体" w:cs="宋体"/>
          <w:color w:val="auto"/>
          <w:szCs w:val="21"/>
          <w:highlight w:val="none"/>
        </w:rPr>
      </w:pPr>
      <w:r>
        <w:rPr>
          <w:rFonts w:hint="eastAsia" w:ascii="宋体" w:cs="宋体"/>
          <w:color w:val="auto"/>
          <w:szCs w:val="21"/>
          <w:highlight w:val="none"/>
        </w:rPr>
        <w:t>13.2 竣工验收</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13.2.2竣工验收程序</w:t>
      </w:r>
    </w:p>
    <w:p>
      <w:pPr>
        <w:wordWrap w:val="0"/>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关于竣工验收程序的约定：</w:t>
      </w:r>
      <w:r>
        <w:rPr>
          <w:rFonts w:hint="eastAsia" w:ascii="宋体" w:hAnsi="宋体" w:cs="宋体"/>
          <w:color w:val="auto"/>
          <w:szCs w:val="21"/>
          <w:highlight w:val="none"/>
          <w:u w:val="single"/>
        </w:rPr>
        <w:t>执行通用条款</w:t>
      </w:r>
      <w:r>
        <w:rPr>
          <w:rFonts w:ascii="宋体" w:hAnsi="宋体" w:cs="宋体"/>
          <w:color w:val="auto"/>
          <w:szCs w:val="21"/>
          <w:highlight w:val="none"/>
          <w:u w:val="single"/>
        </w:rPr>
        <w:t xml:space="preserve">  </w:t>
      </w:r>
      <w:r>
        <w:rPr>
          <w:rFonts w:hint="eastAsia" w:ascii="宋体" w:cs="宋体"/>
          <w:color w:val="auto"/>
          <w:szCs w:val="21"/>
          <w:highlight w:val="none"/>
          <w:u w:val="single"/>
        </w:rPr>
        <w:t>。</w:t>
      </w:r>
    </w:p>
    <w:p>
      <w:pPr>
        <w:wordWrap w:val="0"/>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kern w:val="0"/>
          <w:szCs w:val="21"/>
          <w:highlight w:val="none"/>
        </w:rPr>
        <w:t>发包人不按照本项约定组织竣工验收、颁发工程接收证书的违约金的计算方法：</w:t>
      </w:r>
      <w:r>
        <w:rPr>
          <w:rFonts w:hint="eastAsia" w:ascii="宋体" w:cs="宋体"/>
          <w:color w:val="auto"/>
          <w:szCs w:val="21"/>
          <w:highlight w:val="none"/>
          <w:u w:val="single"/>
        </w:rPr>
        <w:t xml:space="preserve">  不考虑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13.2.5移交、接收全部与部分工程</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承包人向发包人移交工程的期限：</w:t>
      </w:r>
      <w:r>
        <w:rPr>
          <w:rFonts w:hint="eastAsia" w:ascii="宋体" w:cs="宋体"/>
          <w:color w:val="auto"/>
          <w:szCs w:val="21"/>
          <w:highlight w:val="none"/>
          <w:u w:val="single"/>
        </w:rPr>
        <w:t xml:space="preserve"> 承包人应当无条件配合发包人在30日内将工程移交给</w:t>
      </w:r>
      <w:r>
        <w:rPr>
          <w:rFonts w:hint="eastAsia" w:ascii="宋体" w:cs="宋体"/>
          <w:color w:val="auto"/>
          <w:szCs w:val="21"/>
          <w:highlight w:val="none"/>
          <w:u w:val="single"/>
          <w:lang w:val="en-US" w:eastAsia="zh-CN"/>
        </w:rPr>
        <w:t>发包人</w:t>
      </w:r>
      <w:r>
        <w:rPr>
          <w:rFonts w:hint="eastAsia" w:ascii="宋体" w:cs="宋体"/>
          <w:color w:val="auto"/>
          <w:szCs w:val="21"/>
          <w:highlight w:val="none"/>
          <w:u w:val="singl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kern w:val="0"/>
          <w:szCs w:val="21"/>
          <w:highlight w:val="none"/>
        </w:rPr>
        <w:t>发包人未按本合同约定接收全部或部分工程的，违约金的计算方法为：</w:t>
      </w:r>
      <w:r>
        <w:rPr>
          <w:rFonts w:hint="eastAsia" w:ascii="宋体" w:cs="宋体"/>
          <w:color w:val="auto"/>
          <w:szCs w:val="21"/>
          <w:highlight w:val="none"/>
          <w:u w:val="single"/>
        </w:rPr>
        <w:t xml:space="preserve">  不考虑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承包人未按时移交工程的，违约金的计算方法为：</w:t>
      </w:r>
      <w:r>
        <w:rPr>
          <w:rFonts w:hint="eastAsia" w:ascii="宋体" w:cs="宋体"/>
          <w:color w:val="auto"/>
          <w:szCs w:val="21"/>
          <w:highlight w:val="none"/>
          <w:u w:val="single"/>
        </w:rPr>
        <w:t xml:space="preserve"> 因承包人原因，未按合同期限按时移交的，暂停工程款支付，发包人可动用质保金，用于工程质量整改 </w:t>
      </w:r>
      <w:r>
        <w:rPr>
          <w:rFonts w:hint="eastAsia" w:ascii="宋体" w:cs="宋体"/>
          <w:color w:val="auto"/>
          <w:szCs w:val="21"/>
          <w:highlight w:val="non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13.3 工程试车</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13.3.1 试车程序</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kern w:val="0"/>
          <w:szCs w:val="21"/>
          <w:highlight w:val="none"/>
        </w:rPr>
        <w:t>工程试车内容：</w:t>
      </w:r>
      <w:r>
        <w:rPr>
          <w:rFonts w:hint="eastAsia" w:ascii="宋体" w:cs="宋体"/>
          <w:color w:val="auto"/>
          <w:szCs w:val="21"/>
          <w:highlight w:val="none"/>
          <w:u w:val="single"/>
          <w:lang w:val="en-US" w:eastAsia="zh-CN"/>
        </w:rPr>
        <w:t>/</w:t>
      </w:r>
      <w:r>
        <w:rPr>
          <w:rFonts w:hint="eastAsia" w:ascii="宋体" w:cs="宋体"/>
          <w:color w:val="auto"/>
          <w:szCs w:val="21"/>
          <w:highlight w:val="none"/>
          <w:u w:val="single"/>
        </w:rPr>
        <w:t>。</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（1）单机无负荷试车费用由</w:t>
      </w:r>
      <w:r>
        <w:rPr>
          <w:rFonts w:hint="eastAsia" w:ascii="宋体" w:cs="宋体"/>
          <w:color w:val="auto"/>
          <w:szCs w:val="21"/>
          <w:highlight w:val="none"/>
          <w:u w:val="single"/>
        </w:rPr>
        <w:t xml:space="preserve">  承包人  </w:t>
      </w:r>
      <w:r>
        <w:rPr>
          <w:rFonts w:hint="eastAsia" w:ascii="宋体" w:cs="宋体"/>
          <w:color w:val="auto"/>
          <w:kern w:val="0"/>
          <w:szCs w:val="21"/>
          <w:highlight w:val="none"/>
        </w:rPr>
        <w:t>承担；</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（2）无负荷联动试车费用由</w:t>
      </w:r>
      <w:r>
        <w:rPr>
          <w:rFonts w:hint="eastAsia" w:ascii="宋体" w:cs="宋体"/>
          <w:color w:val="auto"/>
          <w:szCs w:val="21"/>
          <w:highlight w:val="none"/>
          <w:u w:val="single"/>
        </w:rPr>
        <w:t xml:space="preserve">  承包人  </w:t>
      </w:r>
      <w:r>
        <w:rPr>
          <w:rFonts w:hint="eastAsia" w:ascii="宋体" w:cs="宋体"/>
          <w:color w:val="auto"/>
          <w:kern w:val="0"/>
          <w:szCs w:val="21"/>
          <w:highlight w:val="none"/>
        </w:rPr>
        <w:t>承担。</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13.3.3 投料试车</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kern w:val="0"/>
          <w:szCs w:val="21"/>
          <w:highlight w:val="none"/>
        </w:rPr>
        <w:t>关于投料试车相关事项的约定：</w:t>
      </w:r>
      <w:r>
        <w:rPr>
          <w:rFonts w:hint="eastAsia" w:ascii="宋体" w:cs="宋体"/>
          <w:color w:val="auto"/>
          <w:kern w:val="0"/>
          <w:szCs w:val="21"/>
          <w:highlight w:val="none"/>
          <w:u w:val="single"/>
        </w:rPr>
        <w:t>如需进行投料试车的，发包人应在工程竣工验收后组织投料试车。发包人要求在工程竣工验收前进行或需要承包人配合时，应征得承包人同意。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13.6 竣工退场</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13.6.1 竣工退场</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承包人完成竣工退场的期限：</w:t>
      </w:r>
      <w:r>
        <w:rPr>
          <w:rFonts w:hint="eastAsia" w:ascii="宋体" w:cs="宋体"/>
          <w:color w:val="auto"/>
          <w:szCs w:val="21"/>
          <w:highlight w:val="none"/>
          <w:u w:val="single"/>
        </w:rPr>
        <w:t>工程竣工合格后，7天内退场。</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14. 竣工结算</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14.1 竣工付款申请</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承包人提交竣工付款申请单的期限：</w:t>
      </w:r>
      <w:r>
        <w:rPr>
          <w:rFonts w:hint="eastAsia" w:ascii="宋体" w:cs="宋体"/>
          <w:color w:val="auto"/>
          <w:szCs w:val="21"/>
          <w:highlight w:val="none"/>
          <w:u w:val="single"/>
        </w:rPr>
        <w:t>承包人须于竣工验收合格后60日内完成竣工结算报告和完整结算资料上报，特殊情况，经分管领导批准的可以延长。凡因承包人原因，未能在规定时间内上报竣工结算的，处</w:t>
      </w:r>
      <w:r>
        <w:rPr>
          <w:rFonts w:hint="eastAsia" w:ascii="宋体" w:cs="宋体"/>
          <w:color w:val="auto"/>
          <w:szCs w:val="21"/>
          <w:highlight w:val="none"/>
          <w:u w:val="single"/>
          <w:lang w:val="en-US" w:eastAsia="zh-CN"/>
        </w:rPr>
        <w:t>以</w:t>
      </w:r>
      <w:r>
        <w:rPr>
          <w:rFonts w:hint="eastAsia" w:ascii="宋体" w:cs="宋体"/>
          <w:color w:val="auto"/>
          <w:szCs w:val="21"/>
          <w:highlight w:val="none"/>
          <w:u w:val="single"/>
        </w:rPr>
        <w:t>10000元/月的违约金。情节严重的，项目单位有权按已有资料或按已付款报相关部门办理结算。</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竣工结算申请单应包括的内容：</w:t>
      </w:r>
      <w:r>
        <w:rPr>
          <w:rFonts w:hint="eastAsia" w:ascii="宋体" w:cs="宋体"/>
          <w:color w:val="auto"/>
          <w:szCs w:val="21"/>
          <w:highlight w:val="none"/>
          <w:u w:val="single"/>
        </w:rPr>
        <w:t>执行发包人统一内容格式。</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14.2 竣工结算审核</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发包人审批竣工付款申请单的期限：</w:t>
      </w:r>
      <w:r>
        <w:rPr>
          <w:rFonts w:hint="eastAsia" w:ascii="宋体" w:cs="宋体"/>
          <w:color w:val="auto"/>
          <w:szCs w:val="21"/>
          <w:highlight w:val="none"/>
          <w:u w:val="single"/>
        </w:rPr>
        <w:t>相关部门审核通过后7天内完成审批并签发结算款支付证书</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发包人完成竣工付款的期限：</w:t>
      </w:r>
      <w:r>
        <w:rPr>
          <w:rFonts w:hint="eastAsia" w:ascii="宋体" w:cs="宋体"/>
          <w:color w:val="auto"/>
          <w:szCs w:val="21"/>
          <w:highlight w:val="none"/>
          <w:u w:val="single"/>
        </w:rPr>
        <w:t xml:space="preserve">发包人在发票送达一周内完成支付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关于竣工付款证书异议部分复核的方式和程序：</w:t>
      </w:r>
      <w:r>
        <w:rPr>
          <w:rFonts w:hint="eastAsia" w:ascii="宋体" w:cs="宋体"/>
          <w:color w:val="auto"/>
          <w:szCs w:val="21"/>
          <w:highlight w:val="none"/>
          <w:u w:val="single"/>
        </w:rPr>
        <w:t>按照第20条〔争议解决〕约定处理。</w:t>
      </w:r>
    </w:p>
    <w:p>
      <w:pPr>
        <w:snapToGrid w:val="0"/>
        <w:spacing w:beforeLines="0" w:afterLines="0" w:line="440" w:lineRule="exact"/>
        <w:ind w:firstLine="422" w:firstLineChars="200"/>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根据滁规建管办字【2023】3号文件《关于规范建设项目工程造价控制与审核费用的通知》的规定，工程造价审减率超过5%时，施工单位承担审减率超出5%以上的核减额的5%，项目结算付款单位根据审计结果从工程待结价款中扣除或以违约金形式缴纳至招标人处。</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14.4 最终结清</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14.4.1 最终结清申请单</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承包人提交最终结清申请单的份数：</w:t>
      </w:r>
      <w:r>
        <w:rPr>
          <w:rFonts w:hint="eastAsia" w:ascii="宋体" w:cs="宋体"/>
          <w:color w:val="auto"/>
          <w:szCs w:val="21"/>
          <w:highlight w:val="none"/>
          <w:u w:val="single"/>
        </w:rPr>
        <w:t xml:space="preserve"> 4份  </w:t>
      </w:r>
      <w:r>
        <w:rPr>
          <w:rFonts w:hint="eastAsia" w:ascii="宋体" w:cs="宋体"/>
          <w:color w:val="auto"/>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kern w:val="0"/>
          <w:szCs w:val="21"/>
          <w:highlight w:val="none"/>
        </w:rPr>
        <w:t>承包人提交最终结算申请单的期限：</w:t>
      </w:r>
      <w:r>
        <w:rPr>
          <w:rFonts w:hint="eastAsia" w:ascii="宋体" w:cs="宋体"/>
          <w:color w:val="auto"/>
          <w:szCs w:val="21"/>
          <w:highlight w:val="none"/>
          <w:u w:val="single"/>
        </w:rPr>
        <w:t xml:space="preserve"> 缺陷责任期满经复查合格后7天内。</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14.4.2 最终结清证书和支付</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（1）发包人完成最终结清申请单的审批并颁发最终结清证书的期限：</w:t>
      </w:r>
      <w:r>
        <w:rPr>
          <w:rFonts w:hint="eastAsia" w:ascii="宋体" w:cs="宋体"/>
          <w:color w:val="auto"/>
          <w:szCs w:val="21"/>
          <w:highlight w:val="none"/>
          <w:u w:val="single"/>
        </w:rPr>
        <w:t xml:space="preserve"> 缺陷责任期满经复查合格后14天内。</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（2）发包人完成支付的期限：</w:t>
      </w:r>
      <w:r>
        <w:rPr>
          <w:rFonts w:hint="eastAsia" w:ascii="宋体" w:cs="宋体"/>
          <w:color w:val="auto"/>
          <w:szCs w:val="21"/>
          <w:highlight w:val="none"/>
          <w:u w:val="single"/>
        </w:rPr>
        <w:t xml:space="preserve">发包人发票送达一周内完成支付 </w:t>
      </w:r>
      <w:r>
        <w:rPr>
          <w:rFonts w:hint="eastAsia" w:ascii="宋体" w:cs="宋体"/>
          <w:color w:val="auto"/>
          <w:szCs w:val="21"/>
          <w:highlight w:val="none"/>
        </w:rPr>
        <w:t>。</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15. 缺陷责任期与保修</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15.2缺陷责任期</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缺陷责任期的具体期限：</w:t>
      </w:r>
      <w:r>
        <w:rPr>
          <w:rFonts w:hint="eastAsia" w:ascii="黑体" w:hAnsi="黑体" w:eastAsia="黑体" w:cs="黑体"/>
          <w:b/>
          <w:bCs/>
          <w:color w:val="auto"/>
          <w:szCs w:val="21"/>
          <w:highlight w:val="none"/>
          <w:u w:val="single"/>
        </w:rPr>
        <w:t>自竣工验收合格之日起</w:t>
      </w:r>
      <w:r>
        <w:rPr>
          <w:rFonts w:hint="eastAsia" w:ascii="黑体" w:hAnsi="黑体" w:eastAsia="黑体" w:cs="黑体"/>
          <w:b/>
          <w:bCs/>
          <w:color w:val="auto"/>
          <w:szCs w:val="21"/>
          <w:highlight w:val="none"/>
          <w:u w:val="single"/>
          <w:lang w:val="en-US" w:eastAsia="zh-CN"/>
        </w:rPr>
        <w:t>12</w:t>
      </w:r>
      <w:r>
        <w:rPr>
          <w:rFonts w:hint="eastAsia" w:ascii="黑体" w:hAnsi="黑体" w:eastAsia="黑体" w:cs="黑体"/>
          <w:b/>
          <w:bCs/>
          <w:color w:val="auto"/>
          <w:szCs w:val="21"/>
          <w:highlight w:val="none"/>
          <w:u w:val="single"/>
        </w:rPr>
        <w:t>个月（详见付款方式）</w:t>
      </w:r>
      <w:r>
        <w:rPr>
          <w:rFonts w:hint="eastAsia" w:ascii="宋体" w:cs="宋体"/>
          <w:color w:val="auto"/>
          <w:szCs w:val="21"/>
          <w:highlight w:val="none"/>
          <w:u w:val="single"/>
        </w:rPr>
        <w:t>。</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15.3 质量保证金</w:t>
      </w:r>
    </w:p>
    <w:p>
      <w:pPr>
        <w:snapToGrid w:val="0"/>
        <w:spacing w:line="44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关于是否扣留质量保证金的约定：</w:t>
      </w:r>
      <w:r>
        <w:rPr>
          <w:rFonts w:hint="eastAsia" w:ascii="宋体" w:cs="宋体"/>
          <w:color w:val="auto"/>
          <w:szCs w:val="21"/>
          <w:highlight w:val="none"/>
          <w:u w:val="single"/>
        </w:rPr>
        <w:t xml:space="preserve"> 是。   </w:t>
      </w:r>
    </w:p>
    <w:p>
      <w:pPr>
        <w:snapToGrid w:val="0"/>
        <w:spacing w:line="44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在工程项目竣工前，承包人按专用合同条款第3.7条提供履约担保的，发包人不得同时预留工程质量保证金。</w:t>
      </w:r>
    </w:p>
    <w:p>
      <w:pPr>
        <w:snapToGri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15.3.1 承包人提供质量保证金的方式</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质量保证金采用以下方式：</w:t>
      </w:r>
    </w:p>
    <w:p>
      <w:pPr>
        <w:autoSpaceDE w:val="0"/>
        <w:autoSpaceDN w:val="0"/>
        <w:adjustRightInd w:val="0"/>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 xml:space="preserve">（1）质量保证金保函； </w:t>
      </w:r>
    </w:p>
    <w:p>
      <w:pPr>
        <w:autoSpaceDE w:val="0"/>
        <w:autoSpaceDN w:val="0"/>
        <w:adjustRightInd w:val="0"/>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（2）</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u w:val="single"/>
          <w:lang w:val="en-US" w:eastAsia="zh-CN"/>
        </w:rPr>
        <w:t>2</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rPr>
        <w:t>的工程款；</w:t>
      </w:r>
    </w:p>
    <w:p>
      <w:pPr>
        <w:autoSpaceDE w:val="0"/>
        <w:autoSpaceDN w:val="0"/>
        <w:adjustRightInd w:val="0"/>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（3）其他方式:</w:t>
      </w:r>
      <w:r>
        <w:rPr>
          <w:rFonts w:hint="eastAsia" w:ascii="宋体" w:cs="宋体"/>
          <w:color w:val="auto"/>
          <w:kern w:val="0"/>
          <w:szCs w:val="21"/>
          <w:highlight w:val="none"/>
          <w:u w:val="single"/>
        </w:rPr>
        <w:t xml:space="preserve">        。</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 xml:space="preserve">15.3.2 质量保证金的扣留 </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质量保证金的扣留采取以下方式：</w:t>
      </w:r>
    </w:p>
    <w:p>
      <w:pPr>
        <w:autoSpaceDE w:val="0"/>
        <w:autoSpaceDN w:val="0"/>
        <w:adjustRightInd w:val="0"/>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（1）在支付工程进度款时逐次扣留，在此情形下，质量保证金的计算基数不包括预付款的支付、扣回以及价格调整的金额；</w:t>
      </w:r>
    </w:p>
    <w:p>
      <w:pPr>
        <w:autoSpaceDE w:val="0"/>
        <w:autoSpaceDN w:val="0"/>
        <w:adjustRightInd w:val="0"/>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（2）工程竣工结算时一次性扣留质量保证金；</w:t>
      </w:r>
    </w:p>
    <w:p>
      <w:pPr>
        <w:autoSpaceDE w:val="0"/>
        <w:autoSpaceDN w:val="0"/>
        <w:adjustRightInd w:val="0"/>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（3）其他扣留方式:</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rPr>
        <w:t>。</w:t>
      </w:r>
    </w:p>
    <w:p>
      <w:pPr>
        <w:snapToGrid w:val="0"/>
        <w:spacing w:line="440" w:lineRule="exact"/>
        <w:ind w:firstLine="420" w:firstLineChars="200"/>
        <w:jc w:val="left"/>
        <w:rPr>
          <w:rFonts w:hint="eastAsia" w:ascii="宋体" w:eastAsia="宋体" w:cs="宋体"/>
          <w:color w:val="auto"/>
          <w:kern w:val="0"/>
          <w:szCs w:val="21"/>
          <w:highlight w:val="none"/>
          <w:u w:val="single"/>
          <w:lang w:eastAsia="zh-CN"/>
        </w:rPr>
      </w:pPr>
      <w:r>
        <w:rPr>
          <w:rFonts w:hint="eastAsia" w:ascii="宋体" w:cs="宋体"/>
          <w:color w:val="auto"/>
          <w:szCs w:val="21"/>
          <w:highlight w:val="none"/>
        </w:rPr>
        <w:t>关于质量保证金的补充约定：</w:t>
      </w:r>
      <w:r>
        <w:rPr>
          <w:rFonts w:hint="eastAsia" w:ascii="宋体" w:cs="宋体"/>
          <w:color w:val="auto"/>
          <w:kern w:val="0"/>
          <w:szCs w:val="21"/>
          <w:highlight w:val="none"/>
          <w:u w:val="single"/>
        </w:rPr>
        <w:t xml:space="preserve"> </w:t>
      </w:r>
      <w:r>
        <w:rPr>
          <w:rFonts w:hint="eastAsia" w:ascii="宋体" w:cs="宋体"/>
          <w:color w:val="auto"/>
          <w:szCs w:val="21"/>
          <w:highlight w:val="none"/>
          <w:u w:val="single"/>
        </w:rPr>
        <w:t>承包人在缺陷责任期内未履行保修义务的，缺陷责任期满经复查不合格的，质量保证金不予退还。</w:t>
      </w:r>
      <w:r>
        <w:rPr>
          <w:rFonts w:hint="eastAsia" w:ascii="宋体" w:cs="宋体"/>
          <w:color w:val="auto"/>
          <w:kern w:val="0"/>
          <w:szCs w:val="21"/>
          <w:highlight w:val="none"/>
          <w:u w:val="single"/>
        </w:rPr>
        <w:t>质量缺陷较多，多次催促整改不到位，处理不及时的，</w:t>
      </w:r>
      <w:r>
        <w:rPr>
          <w:rFonts w:hint="eastAsia" w:ascii="宋体" w:cs="宋体"/>
          <w:color w:val="auto"/>
          <w:szCs w:val="21"/>
          <w:highlight w:val="none"/>
          <w:u w:val="single"/>
        </w:rPr>
        <w:t>发包人可动用质保金，用于工程质量整改，同时限制承包人一年内不得参与我单位项目投标。</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15.4保修</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15.4.1 保修责任</w:t>
      </w:r>
    </w:p>
    <w:p>
      <w:pPr>
        <w:snapToGrid w:val="0"/>
        <w:spacing w:line="440" w:lineRule="exact"/>
        <w:ind w:firstLine="420" w:firstLineChars="200"/>
        <w:jc w:val="left"/>
        <w:rPr>
          <w:rFonts w:hint="eastAsia" w:ascii="宋体" w:cs="宋体"/>
          <w:color w:val="auto"/>
          <w:kern w:val="0"/>
          <w:szCs w:val="21"/>
          <w:highlight w:val="none"/>
          <w:u w:val="single"/>
        </w:rPr>
      </w:pPr>
      <w:r>
        <w:rPr>
          <w:rFonts w:hint="eastAsia" w:ascii="宋体" w:cs="宋体"/>
          <w:color w:val="auto"/>
          <w:szCs w:val="21"/>
          <w:highlight w:val="none"/>
        </w:rPr>
        <w:t>工程保修期为：</w:t>
      </w:r>
      <w:r>
        <w:rPr>
          <w:rFonts w:hint="eastAsia" w:ascii="宋体" w:cs="宋体"/>
          <w:color w:val="auto"/>
          <w:kern w:val="0"/>
          <w:szCs w:val="21"/>
          <w:highlight w:val="none"/>
          <w:u w:val="single"/>
        </w:rPr>
        <w:t xml:space="preserve">   执行《建设工程质量管理条例》及有关规定。     </w:t>
      </w:r>
    </w:p>
    <w:p>
      <w:pPr>
        <w:snapToGrid w:val="0"/>
        <w:spacing w:line="440" w:lineRule="exact"/>
        <w:ind w:firstLine="420" w:firstLineChars="200"/>
        <w:jc w:val="left"/>
        <w:rPr>
          <w:rFonts w:hint="eastAsia" w:ascii="宋体" w:cs="宋体"/>
          <w:color w:val="auto"/>
          <w:kern w:val="0"/>
          <w:szCs w:val="21"/>
          <w:highlight w:val="none"/>
          <w:u w:val="single"/>
        </w:rPr>
      </w:pPr>
      <w:r>
        <w:rPr>
          <w:rFonts w:hint="eastAsia" w:ascii="宋体" w:cs="宋体"/>
          <w:color w:val="auto"/>
          <w:kern w:val="0"/>
          <w:szCs w:val="21"/>
          <w:highlight w:val="none"/>
        </w:rPr>
        <w:t>承包人收到保修通知并到达工程现场的合理时间：</w:t>
      </w:r>
      <w:r>
        <w:rPr>
          <w:rFonts w:hint="eastAsia" w:ascii="宋体" w:cs="宋体"/>
          <w:color w:val="auto"/>
          <w:kern w:val="0"/>
          <w:szCs w:val="21"/>
          <w:highlight w:val="none"/>
          <w:u w:val="single"/>
        </w:rPr>
        <w:t xml:space="preserve">自承包人收到保修通知起24小时内到达工程现场。  </w:t>
      </w:r>
    </w:p>
    <w:p>
      <w:pPr>
        <w:pStyle w:val="9"/>
        <w:snapToGrid w:val="0"/>
        <w:spacing w:before="0" w:after="0" w:line="44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16. 违约</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16.1 发包人违约</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16.1.1发包人违约的情形</w:t>
      </w:r>
    </w:p>
    <w:p>
      <w:pPr>
        <w:snapToGrid w:val="0"/>
        <w:spacing w:line="440" w:lineRule="exact"/>
        <w:ind w:firstLine="420" w:firstLineChars="200"/>
        <w:jc w:val="left"/>
        <w:rPr>
          <w:rFonts w:hint="eastAsia" w:ascii="宋体" w:cs="宋体"/>
          <w:color w:val="auto"/>
          <w:kern w:val="0"/>
          <w:szCs w:val="21"/>
          <w:highlight w:val="none"/>
          <w:u w:val="single"/>
        </w:rPr>
      </w:pPr>
      <w:r>
        <w:rPr>
          <w:rFonts w:hint="eastAsia" w:ascii="宋体" w:cs="宋体"/>
          <w:color w:val="auto"/>
          <w:kern w:val="0"/>
          <w:szCs w:val="21"/>
          <w:highlight w:val="none"/>
        </w:rPr>
        <w:t>发包人违约的其他情形：</w:t>
      </w:r>
      <w:r>
        <w:rPr>
          <w:rFonts w:hint="eastAsia" w:ascii="宋体" w:cs="宋体"/>
          <w:color w:val="auto"/>
          <w:kern w:val="0"/>
          <w:szCs w:val="21"/>
          <w:highlight w:val="none"/>
          <w:u w:val="single"/>
        </w:rPr>
        <w:t xml:space="preserve">   无    </w:t>
      </w:r>
      <w:r>
        <w:rPr>
          <w:rFonts w:hint="eastAsia" w:ascii="宋体" w:cs="宋体"/>
          <w:color w:val="auto"/>
          <w:kern w:val="0"/>
          <w:szCs w:val="21"/>
          <w:highlight w:val="none"/>
        </w:rPr>
        <w:t>。</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16.1.2 发包人违约的责任</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发包人违约责任的承担方式和计算方法：</w:t>
      </w:r>
    </w:p>
    <w:p>
      <w:pPr>
        <w:snapToGrid w:val="0"/>
        <w:spacing w:line="440" w:lineRule="exact"/>
        <w:ind w:firstLine="420" w:firstLineChars="200"/>
        <w:jc w:val="left"/>
        <w:rPr>
          <w:rFonts w:hint="eastAsia" w:ascii="宋体" w:cs="宋体"/>
          <w:color w:val="auto"/>
          <w:kern w:val="0"/>
          <w:szCs w:val="21"/>
          <w:highlight w:val="none"/>
          <w:u w:val="single"/>
        </w:rPr>
      </w:pPr>
      <w:r>
        <w:rPr>
          <w:rFonts w:hint="eastAsia" w:ascii="宋体" w:cs="宋体"/>
          <w:color w:val="auto"/>
          <w:kern w:val="0"/>
          <w:szCs w:val="21"/>
          <w:highlight w:val="none"/>
        </w:rPr>
        <w:t>（1）因发包人原因未能在计划开工日期前7天内下达开工通知的违约责任：</w:t>
      </w:r>
      <w:r>
        <w:rPr>
          <w:rFonts w:hint="eastAsia" w:ascii="宋体" w:cs="宋体"/>
          <w:color w:val="auto"/>
          <w:kern w:val="0"/>
          <w:szCs w:val="21"/>
          <w:highlight w:val="none"/>
          <w:u w:val="single"/>
        </w:rPr>
        <w:t>对工期造成影响的可顺延工期</w:t>
      </w:r>
      <w:r>
        <w:rPr>
          <w:rFonts w:hint="eastAsia" w:ascii="宋体" w:cs="宋体"/>
          <w:color w:val="auto"/>
          <w:kern w:val="0"/>
          <w:szCs w:val="21"/>
          <w:highlight w:val="none"/>
        </w:rPr>
        <w:t>。</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（2）因发包人原因未能按合同约定支付合同价款的违约责任：</w:t>
      </w:r>
      <w:r>
        <w:rPr>
          <w:rFonts w:hint="eastAsia" w:ascii="宋体" w:cs="宋体"/>
          <w:color w:val="auto"/>
          <w:kern w:val="0"/>
          <w:szCs w:val="21"/>
          <w:highlight w:val="none"/>
          <w:u w:val="single"/>
        </w:rPr>
        <w:t>可按照中国人民银行发布的同期同类贷款基准利率支付违约金</w:t>
      </w:r>
      <w:r>
        <w:rPr>
          <w:rFonts w:hint="eastAsia" w:ascii="宋体" w:cs="宋体"/>
          <w:color w:val="auto"/>
          <w:kern w:val="0"/>
          <w:szCs w:val="21"/>
          <w:highlight w:val="none"/>
        </w:rPr>
        <w:t>。</w:t>
      </w:r>
    </w:p>
    <w:p>
      <w:pPr>
        <w:snapToGrid w:val="0"/>
        <w:spacing w:line="440" w:lineRule="exact"/>
        <w:ind w:firstLine="420" w:firstLineChars="200"/>
        <w:jc w:val="left"/>
        <w:rPr>
          <w:rFonts w:hint="eastAsia" w:ascii="宋体" w:cs="宋体"/>
          <w:color w:val="auto"/>
          <w:kern w:val="0"/>
          <w:szCs w:val="21"/>
          <w:highlight w:val="none"/>
          <w:u w:val="single"/>
        </w:rPr>
      </w:pPr>
      <w:r>
        <w:rPr>
          <w:rFonts w:hint="eastAsia" w:ascii="宋体" w:cs="宋体"/>
          <w:color w:val="auto"/>
          <w:kern w:val="0"/>
          <w:szCs w:val="21"/>
          <w:highlight w:val="none"/>
        </w:rPr>
        <w:t>（3）发包人违反第10.1款〔变更的范围〕第（2）项约定，自行实施被取消的工作或转由他人实施的违约责任：</w:t>
      </w:r>
      <w:r>
        <w:rPr>
          <w:rFonts w:hint="eastAsia" w:ascii="宋体" w:cs="宋体"/>
          <w:color w:val="auto"/>
          <w:kern w:val="0"/>
          <w:szCs w:val="21"/>
          <w:highlight w:val="none"/>
          <w:u w:val="single"/>
        </w:rPr>
        <w:t xml:space="preserve">   发包人可追加与被取消的工作造价相当的额外工作做为补偿</w:t>
      </w:r>
      <w:r>
        <w:rPr>
          <w:rFonts w:hint="eastAsia" w:ascii="宋体" w:cs="宋体"/>
          <w:color w:val="auto"/>
          <w:kern w:val="0"/>
          <w:szCs w:val="21"/>
          <w:highlight w:val="none"/>
        </w:rPr>
        <w:t>。</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宋体" w:cs="宋体"/>
          <w:color w:val="auto"/>
          <w:kern w:val="0"/>
          <w:szCs w:val="21"/>
          <w:highlight w:val="none"/>
          <w:u w:val="single"/>
        </w:rPr>
        <w:t xml:space="preserve">发包人可补足或更换材料、工程设备；对工期造成延误的可以顺延；增加承包人成本的可予以补偿  </w:t>
      </w:r>
      <w:r>
        <w:rPr>
          <w:rFonts w:hint="eastAsia" w:ascii="宋体" w:cs="宋体"/>
          <w:color w:val="auto"/>
          <w:kern w:val="0"/>
          <w:szCs w:val="21"/>
          <w:highlight w:val="none"/>
        </w:rPr>
        <w:t>。</w:t>
      </w:r>
    </w:p>
    <w:p>
      <w:pPr>
        <w:snapToGrid w:val="0"/>
        <w:spacing w:line="440" w:lineRule="exact"/>
        <w:ind w:firstLine="420" w:firstLineChars="200"/>
        <w:jc w:val="left"/>
        <w:rPr>
          <w:rFonts w:hint="eastAsia" w:ascii="宋体" w:cs="宋体"/>
          <w:color w:val="auto"/>
          <w:kern w:val="0"/>
          <w:szCs w:val="21"/>
          <w:highlight w:val="none"/>
          <w:u w:val="single"/>
        </w:rPr>
      </w:pPr>
      <w:r>
        <w:rPr>
          <w:rFonts w:hint="eastAsia" w:ascii="宋体" w:cs="宋体"/>
          <w:color w:val="auto"/>
          <w:kern w:val="0"/>
          <w:szCs w:val="21"/>
          <w:highlight w:val="none"/>
        </w:rPr>
        <w:t>（5）因发包人违反合同约定造成暂停施工的违约责任：</w:t>
      </w:r>
      <w:r>
        <w:rPr>
          <w:rFonts w:hint="eastAsia" w:ascii="宋体" w:cs="宋体"/>
          <w:color w:val="auto"/>
          <w:kern w:val="0"/>
          <w:szCs w:val="21"/>
          <w:highlight w:val="none"/>
          <w:u w:val="single"/>
        </w:rPr>
        <w:t xml:space="preserve">  可顺延工期  </w:t>
      </w:r>
      <w:r>
        <w:rPr>
          <w:rFonts w:hint="eastAsia" w:ascii="宋体" w:cs="宋体"/>
          <w:color w:val="auto"/>
          <w:kern w:val="0"/>
          <w:szCs w:val="21"/>
          <w:highlight w:val="none"/>
        </w:rPr>
        <w:t>。</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（6）发包人无正当理由没有在约定期限内发出复工指示，导致承包人无法复工的违约责任：</w:t>
      </w:r>
      <w:r>
        <w:rPr>
          <w:rFonts w:hint="eastAsia" w:ascii="宋体" w:cs="宋体"/>
          <w:color w:val="auto"/>
          <w:kern w:val="0"/>
          <w:szCs w:val="21"/>
          <w:highlight w:val="none"/>
          <w:u w:val="single"/>
        </w:rPr>
        <w:t xml:space="preserve"> 对工期造成影响的可顺延工期  </w:t>
      </w:r>
      <w:r>
        <w:rPr>
          <w:rFonts w:hint="eastAsia" w:ascii="宋体" w:cs="宋体"/>
          <w:color w:val="auto"/>
          <w:kern w:val="0"/>
          <w:szCs w:val="21"/>
          <w:highlight w:val="none"/>
        </w:rPr>
        <w:t>。</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（7）其他：</w:t>
      </w:r>
      <w:r>
        <w:rPr>
          <w:rFonts w:hint="eastAsia" w:ascii="宋体" w:cs="宋体"/>
          <w:color w:val="auto"/>
          <w:kern w:val="0"/>
          <w:szCs w:val="21"/>
          <w:highlight w:val="none"/>
          <w:u w:val="single"/>
        </w:rPr>
        <w:t xml:space="preserve">  无  </w:t>
      </w:r>
      <w:r>
        <w:rPr>
          <w:rFonts w:hint="eastAsia" w:ascii="宋体" w:cs="宋体"/>
          <w:color w:val="auto"/>
          <w:kern w:val="0"/>
          <w:szCs w:val="21"/>
          <w:highlight w:val="none"/>
        </w:rPr>
        <w:t>。</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16.1.3 因发包人违约解除合同</w:t>
      </w:r>
    </w:p>
    <w:p>
      <w:pPr>
        <w:autoSpaceDE w:val="0"/>
        <w:autoSpaceDN w:val="0"/>
        <w:adjustRightInd w:val="0"/>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承包人按16.1.1项〔发包人违约的情形〕约定暂停施工满</w:t>
      </w:r>
      <w:r>
        <w:rPr>
          <w:rFonts w:hint="eastAsia" w:ascii="宋体" w:cs="宋体"/>
          <w:color w:val="auto"/>
          <w:kern w:val="0"/>
          <w:szCs w:val="21"/>
          <w:highlight w:val="none"/>
          <w:u w:val="single"/>
        </w:rPr>
        <w:t xml:space="preserve">  28  </w:t>
      </w:r>
      <w:r>
        <w:rPr>
          <w:rFonts w:hint="eastAsia" w:ascii="宋体" w:cs="宋体"/>
          <w:color w:val="auto"/>
          <w:kern w:val="0"/>
          <w:szCs w:val="21"/>
          <w:highlight w:val="none"/>
        </w:rPr>
        <w:t>天后发包人仍不纠正其违约行为并致使合同目的不能实现的，承包人有权解除合同。</w:t>
      </w:r>
    </w:p>
    <w:p>
      <w:pPr>
        <w:snapToGrid w:val="0"/>
        <w:spacing w:line="440" w:lineRule="exact"/>
        <w:ind w:firstLine="420" w:firstLineChars="200"/>
        <w:rPr>
          <w:rFonts w:hint="eastAsia" w:ascii="宋体" w:cs="宋体"/>
          <w:color w:val="auto"/>
          <w:szCs w:val="21"/>
          <w:highlight w:val="none"/>
        </w:rPr>
      </w:pPr>
      <w:r>
        <w:rPr>
          <w:rFonts w:hint="eastAsia" w:ascii="宋体" w:cs="宋体"/>
          <w:color w:val="auto"/>
          <w:szCs w:val="21"/>
          <w:highlight w:val="none"/>
        </w:rPr>
        <w:t>16.2 承包人违约</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16.2.1 承包人违约的情形</w:t>
      </w:r>
    </w:p>
    <w:p>
      <w:pPr>
        <w:snapToGrid w:val="0"/>
        <w:spacing w:line="440" w:lineRule="exact"/>
        <w:ind w:firstLine="420" w:firstLineChars="200"/>
        <w:jc w:val="left"/>
        <w:rPr>
          <w:rFonts w:hint="eastAsia" w:ascii="宋体" w:cs="宋体"/>
          <w:color w:val="auto"/>
          <w:kern w:val="0"/>
          <w:szCs w:val="21"/>
          <w:highlight w:val="none"/>
          <w:u w:val="single"/>
        </w:rPr>
      </w:pPr>
      <w:r>
        <w:rPr>
          <w:rFonts w:hint="eastAsia" w:ascii="宋体" w:cs="宋体"/>
          <w:color w:val="auto"/>
          <w:kern w:val="0"/>
          <w:szCs w:val="21"/>
          <w:highlight w:val="none"/>
        </w:rPr>
        <w:t>承包人违约的其他情形：</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u w:val="single"/>
          <w:lang w:val="en-US" w:eastAsia="zh-CN"/>
        </w:rPr>
        <w:t>/</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rPr>
        <w:t>。</w:t>
      </w:r>
    </w:p>
    <w:p>
      <w:pPr>
        <w:snapToGrid w:val="0"/>
        <w:spacing w:line="44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16.2.2承包人违约的责任</w:t>
      </w:r>
    </w:p>
    <w:p>
      <w:pPr>
        <w:snapToGrid w:val="0"/>
        <w:spacing w:line="440" w:lineRule="exact"/>
        <w:ind w:firstLine="420" w:firstLineChars="200"/>
        <w:jc w:val="left"/>
        <w:rPr>
          <w:rFonts w:hint="eastAsia" w:ascii="宋体" w:cs="宋体"/>
          <w:color w:val="auto"/>
          <w:kern w:val="0"/>
          <w:szCs w:val="21"/>
          <w:highlight w:val="none"/>
          <w:u w:val="single"/>
        </w:rPr>
      </w:pPr>
      <w:r>
        <w:rPr>
          <w:rFonts w:hint="eastAsia" w:ascii="宋体" w:cs="宋体"/>
          <w:color w:val="auto"/>
          <w:kern w:val="0"/>
          <w:szCs w:val="21"/>
          <w:highlight w:val="none"/>
        </w:rPr>
        <w:t>承包人违约责任的承担方式和计算方法：</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u w:val="single"/>
          <w:lang w:val="en-US" w:eastAsia="zh-CN"/>
        </w:rPr>
        <w:t>/</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rPr>
        <w:t>。</w:t>
      </w:r>
      <w:r>
        <w:rPr>
          <w:rFonts w:hint="eastAsia" w:ascii="宋体" w:cs="宋体"/>
          <w:color w:val="auto"/>
          <w:szCs w:val="21"/>
          <w:highlight w:val="none"/>
        </w:rPr>
        <w:t xml:space="preserve">    </w:t>
      </w:r>
    </w:p>
    <w:p>
      <w:pPr>
        <w:snapToGrid w:val="0"/>
        <w:spacing w:line="44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16.2.3 因承包人违约解除合同</w:t>
      </w:r>
    </w:p>
    <w:p>
      <w:pPr>
        <w:snapToGrid w:val="0"/>
        <w:spacing w:line="440" w:lineRule="exact"/>
        <w:ind w:firstLine="420" w:firstLineChars="200"/>
        <w:rPr>
          <w:rFonts w:hint="eastAsia" w:ascii="宋体" w:cs="宋体"/>
          <w:color w:val="auto"/>
          <w:kern w:val="0"/>
          <w:szCs w:val="21"/>
          <w:highlight w:val="none"/>
        </w:rPr>
      </w:pPr>
      <w:r>
        <w:rPr>
          <w:rFonts w:hint="eastAsia" w:ascii="宋体" w:cs="宋体"/>
          <w:color w:val="auto"/>
          <w:kern w:val="0"/>
          <w:szCs w:val="21"/>
          <w:highlight w:val="none"/>
        </w:rPr>
        <w:t>关于承包人违约解除合同的特别约定：</w:t>
      </w:r>
      <w:r>
        <w:rPr>
          <w:rFonts w:hint="eastAsia" w:ascii="宋体" w:cs="宋体"/>
          <w:color w:val="auto"/>
          <w:kern w:val="0"/>
          <w:szCs w:val="21"/>
          <w:highlight w:val="none"/>
          <w:u w:val="single"/>
          <w:lang w:val="en-US" w:eastAsia="zh-CN"/>
        </w:rPr>
        <w:t>/</w:t>
      </w:r>
      <w:r>
        <w:rPr>
          <w:rFonts w:hint="eastAsia" w:ascii="宋体" w:cs="宋体"/>
          <w:color w:val="auto"/>
          <w:szCs w:val="21"/>
          <w:highlight w:val="none"/>
          <w:u w:val="single"/>
        </w:rPr>
        <w:t>。</w:t>
      </w:r>
    </w:p>
    <w:p>
      <w:pPr>
        <w:snapToGrid w:val="0"/>
        <w:spacing w:line="420" w:lineRule="exact"/>
        <w:ind w:firstLine="420" w:firstLineChars="200"/>
        <w:rPr>
          <w:rFonts w:hint="eastAsia" w:ascii="宋体" w:cs="宋体"/>
          <w:color w:val="auto"/>
          <w:kern w:val="0"/>
          <w:szCs w:val="21"/>
          <w:highlight w:val="none"/>
        </w:rPr>
      </w:pPr>
      <w:r>
        <w:rPr>
          <w:rFonts w:hint="eastAsia" w:ascii="宋体" w:cs="宋体"/>
          <w:color w:val="auto"/>
          <w:kern w:val="0"/>
          <w:szCs w:val="21"/>
          <w:highlight w:val="none"/>
        </w:rPr>
        <w:t>发包人继续使用承包人在施工现场的材料、设备、临时工程、承包人文件和由承包人或以其名义编制的其他文件的费用承担方式：</w:t>
      </w:r>
      <w:r>
        <w:rPr>
          <w:rFonts w:hint="eastAsia" w:ascii="宋体" w:cs="宋体"/>
          <w:color w:val="auto"/>
          <w:kern w:val="0"/>
          <w:szCs w:val="21"/>
          <w:highlight w:val="none"/>
          <w:u w:val="single"/>
        </w:rPr>
        <w:t xml:space="preserve">   发包人不承担费用   </w:t>
      </w:r>
      <w:r>
        <w:rPr>
          <w:rFonts w:hint="eastAsia" w:ascii="宋体" w:cs="宋体"/>
          <w:color w:val="auto"/>
          <w:kern w:val="0"/>
          <w:szCs w:val="21"/>
          <w:highlight w:val="none"/>
        </w:rPr>
        <w:t>。</w:t>
      </w:r>
    </w:p>
    <w:p>
      <w:pPr>
        <w:pStyle w:val="9"/>
        <w:snapToGrid w:val="0"/>
        <w:spacing w:before="0" w:after="0" w:line="42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 xml:space="preserve">17. 不可抗力 </w:t>
      </w:r>
    </w:p>
    <w:p>
      <w:pPr>
        <w:snapToGrid w:val="0"/>
        <w:spacing w:line="420" w:lineRule="exact"/>
        <w:ind w:firstLine="420" w:firstLineChars="200"/>
        <w:rPr>
          <w:rFonts w:hint="eastAsia" w:ascii="宋体" w:cs="宋体"/>
          <w:color w:val="auto"/>
          <w:szCs w:val="21"/>
          <w:highlight w:val="none"/>
        </w:rPr>
      </w:pPr>
      <w:r>
        <w:rPr>
          <w:rFonts w:hint="eastAsia" w:ascii="宋体" w:cs="宋体"/>
          <w:color w:val="auto"/>
          <w:szCs w:val="21"/>
          <w:highlight w:val="none"/>
        </w:rPr>
        <w:t>17.1 不可抗力的确认</w:t>
      </w:r>
    </w:p>
    <w:p>
      <w:pPr>
        <w:snapToGrid w:val="0"/>
        <w:spacing w:line="420" w:lineRule="exact"/>
        <w:ind w:firstLine="420" w:firstLineChars="200"/>
        <w:jc w:val="left"/>
        <w:rPr>
          <w:rFonts w:hint="eastAsia" w:ascii="宋体" w:cs="宋体"/>
          <w:color w:val="auto"/>
          <w:kern w:val="0"/>
          <w:szCs w:val="21"/>
          <w:highlight w:val="none"/>
          <w:u w:val="single"/>
        </w:rPr>
      </w:pPr>
      <w:r>
        <w:rPr>
          <w:rFonts w:hint="eastAsia" w:ascii="宋体" w:cs="宋体"/>
          <w:color w:val="auto"/>
          <w:szCs w:val="21"/>
          <w:highlight w:val="none"/>
        </w:rPr>
        <w:t>除通用合同条款约定的不可抗力事件之外，视为不可抗力的其他情形：</w:t>
      </w:r>
      <w:r>
        <w:rPr>
          <w:rFonts w:hint="eastAsia" w:ascii="宋体" w:cs="宋体"/>
          <w:color w:val="auto"/>
          <w:kern w:val="0"/>
          <w:szCs w:val="21"/>
          <w:highlight w:val="none"/>
          <w:u w:val="single"/>
        </w:rPr>
        <w:t xml:space="preserve">   </w:t>
      </w:r>
      <w:r>
        <w:rPr>
          <w:rFonts w:hint="eastAsia" w:ascii="宋体" w:cs="宋体"/>
          <w:color w:val="auto"/>
          <w:szCs w:val="21"/>
          <w:highlight w:val="none"/>
          <w:u w:val="single"/>
        </w:rPr>
        <w:t>无</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rPr>
        <w:t>。</w:t>
      </w:r>
    </w:p>
    <w:p>
      <w:pPr>
        <w:snapToGrid w:val="0"/>
        <w:spacing w:line="420" w:lineRule="exact"/>
        <w:ind w:firstLine="420" w:firstLineChars="200"/>
        <w:rPr>
          <w:rFonts w:hint="eastAsia" w:ascii="宋体" w:cs="宋体"/>
          <w:color w:val="auto"/>
          <w:szCs w:val="21"/>
          <w:highlight w:val="none"/>
        </w:rPr>
      </w:pPr>
      <w:r>
        <w:rPr>
          <w:rFonts w:hint="eastAsia" w:ascii="宋体" w:cs="宋体"/>
          <w:color w:val="auto"/>
          <w:szCs w:val="21"/>
          <w:highlight w:val="none"/>
        </w:rPr>
        <w:t>17.4 因不可抗力解除合同</w:t>
      </w:r>
    </w:p>
    <w:p>
      <w:pPr>
        <w:snapToGrid w:val="0"/>
        <w:spacing w:line="42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合同解除后，发包人应在</w:t>
      </w:r>
      <w:r>
        <w:rPr>
          <w:rFonts w:hint="eastAsia" w:ascii="宋体" w:cs="宋体"/>
          <w:color w:val="auto"/>
          <w:szCs w:val="21"/>
          <w:highlight w:val="none"/>
          <w:u w:val="single"/>
        </w:rPr>
        <w:t>发票送达一周内</w:t>
      </w:r>
      <w:r>
        <w:rPr>
          <w:rFonts w:hint="eastAsia" w:ascii="宋体" w:cs="宋体"/>
          <w:color w:val="auto"/>
          <w:szCs w:val="21"/>
          <w:highlight w:val="none"/>
        </w:rPr>
        <w:t>完成款项的支付。</w:t>
      </w:r>
    </w:p>
    <w:p>
      <w:pPr>
        <w:pStyle w:val="9"/>
        <w:snapToGrid w:val="0"/>
        <w:spacing w:before="0" w:after="0" w:line="42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18. 保险</w:t>
      </w:r>
    </w:p>
    <w:p>
      <w:pPr>
        <w:snapToGrid w:val="0"/>
        <w:spacing w:line="420" w:lineRule="exact"/>
        <w:ind w:firstLine="420" w:firstLineChars="200"/>
        <w:rPr>
          <w:rFonts w:hint="eastAsia" w:ascii="宋体" w:cs="宋体"/>
          <w:color w:val="auto"/>
          <w:szCs w:val="21"/>
          <w:highlight w:val="none"/>
        </w:rPr>
      </w:pPr>
      <w:r>
        <w:rPr>
          <w:rFonts w:hint="eastAsia" w:ascii="宋体" w:cs="宋体"/>
          <w:color w:val="auto"/>
          <w:szCs w:val="21"/>
          <w:highlight w:val="none"/>
        </w:rPr>
        <w:t>18.1 工程保险</w:t>
      </w:r>
    </w:p>
    <w:p>
      <w:pPr>
        <w:snapToGrid w:val="0"/>
        <w:spacing w:line="420" w:lineRule="exact"/>
        <w:ind w:firstLine="420" w:firstLineChars="200"/>
        <w:rPr>
          <w:rFonts w:hint="eastAsia"/>
          <w:color w:val="auto"/>
          <w:highlight w:val="none"/>
        </w:rPr>
      </w:pPr>
      <w:r>
        <w:rPr>
          <w:rFonts w:hint="eastAsia"/>
          <w:color w:val="auto"/>
          <w:highlight w:val="none"/>
        </w:rPr>
        <w:t>关于工程保险的特别约定：</w:t>
      </w:r>
      <w:r>
        <w:rPr>
          <w:rFonts w:hint="eastAsia"/>
          <w:color w:val="auto"/>
          <w:highlight w:val="none"/>
          <w:u w:val="single"/>
        </w:rPr>
        <w:t xml:space="preserve"> 无   </w:t>
      </w:r>
      <w:r>
        <w:rPr>
          <w:rFonts w:hint="eastAsia"/>
          <w:color w:val="auto"/>
          <w:highlight w:val="none"/>
        </w:rPr>
        <w:t>。</w:t>
      </w:r>
    </w:p>
    <w:p>
      <w:pPr>
        <w:snapToGrid w:val="0"/>
        <w:spacing w:line="420" w:lineRule="exact"/>
        <w:ind w:firstLine="420" w:firstLineChars="200"/>
        <w:rPr>
          <w:rFonts w:hint="eastAsia" w:ascii="宋体" w:cs="宋体"/>
          <w:color w:val="auto"/>
          <w:szCs w:val="21"/>
          <w:highlight w:val="none"/>
        </w:rPr>
      </w:pPr>
      <w:r>
        <w:rPr>
          <w:rFonts w:hint="eastAsia" w:ascii="宋体" w:cs="宋体"/>
          <w:color w:val="auto"/>
          <w:szCs w:val="21"/>
          <w:highlight w:val="none"/>
        </w:rPr>
        <w:t>18.3 其他保险</w:t>
      </w:r>
    </w:p>
    <w:p>
      <w:pPr>
        <w:snapToGrid w:val="0"/>
        <w:spacing w:line="420" w:lineRule="exact"/>
        <w:ind w:firstLine="420" w:firstLineChars="200"/>
        <w:jc w:val="left"/>
        <w:rPr>
          <w:rFonts w:hint="eastAsia" w:ascii="宋体" w:cs="宋体"/>
          <w:color w:val="auto"/>
          <w:kern w:val="0"/>
          <w:szCs w:val="21"/>
          <w:highlight w:val="none"/>
        </w:rPr>
      </w:pPr>
      <w:r>
        <w:rPr>
          <w:rFonts w:hint="eastAsia" w:ascii="宋体" w:cs="宋体"/>
          <w:color w:val="auto"/>
          <w:szCs w:val="21"/>
          <w:highlight w:val="none"/>
        </w:rPr>
        <w:t>关于其他保险的约定：</w:t>
      </w:r>
      <w:r>
        <w:rPr>
          <w:rFonts w:hint="eastAsia" w:ascii="宋体" w:cs="宋体"/>
          <w:color w:val="auto"/>
          <w:kern w:val="0"/>
          <w:szCs w:val="21"/>
          <w:highlight w:val="none"/>
          <w:u w:val="single"/>
        </w:rPr>
        <w:t xml:space="preserve"> 执行国家、省、市有关规定</w:t>
      </w:r>
    </w:p>
    <w:p>
      <w:pPr>
        <w:snapToGrid w:val="0"/>
        <w:spacing w:line="42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承包人是否应为其施工设备等办理财产保险：</w:t>
      </w:r>
      <w:r>
        <w:rPr>
          <w:rFonts w:hint="eastAsia" w:ascii="宋体" w:cs="宋体"/>
          <w:color w:val="auto"/>
          <w:szCs w:val="21"/>
          <w:highlight w:val="none"/>
          <w:u w:val="single"/>
        </w:rPr>
        <w:t xml:space="preserve"> 承包人应为其施工设备等办理财产保险。</w:t>
      </w:r>
    </w:p>
    <w:p>
      <w:pPr>
        <w:snapToGrid w:val="0"/>
        <w:spacing w:line="420" w:lineRule="exact"/>
        <w:ind w:firstLine="420" w:firstLineChars="200"/>
        <w:rPr>
          <w:rFonts w:hint="eastAsia" w:ascii="宋体" w:cs="宋体"/>
          <w:color w:val="auto"/>
          <w:szCs w:val="21"/>
          <w:highlight w:val="none"/>
        </w:rPr>
      </w:pPr>
      <w:r>
        <w:rPr>
          <w:rFonts w:hint="eastAsia" w:ascii="宋体" w:cs="宋体"/>
          <w:color w:val="auto"/>
          <w:szCs w:val="21"/>
          <w:highlight w:val="none"/>
        </w:rPr>
        <w:t>18.7 通知义务</w:t>
      </w:r>
    </w:p>
    <w:p>
      <w:pPr>
        <w:snapToGrid w:val="0"/>
        <w:spacing w:line="420" w:lineRule="exact"/>
        <w:ind w:firstLine="420" w:firstLineChars="200"/>
        <w:jc w:val="left"/>
        <w:rPr>
          <w:rFonts w:hint="eastAsia" w:ascii="宋体" w:cs="宋体"/>
          <w:color w:val="auto"/>
          <w:kern w:val="0"/>
          <w:szCs w:val="21"/>
          <w:highlight w:val="none"/>
          <w:u w:val="single"/>
        </w:rPr>
      </w:pPr>
      <w:r>
        <w:rPr>
          <w:rFonts w:hint="eastAsia" w:ascii="宋体" w:cs="宋体"/>
          <w:color w:val="auto"/>
          <w:kern w:val="0"/>
          <w:szCs w:val="21"/>
          <w:highlight w:val="none"/>
        </w:rPr>
        <w:t>关于变更保险合同时的通知义务的约定：</w:t>
      </w:r>
      <w:r>
        <w:rPr>
          <w:rFonts w:hint="eastAsia" w:ascii="宋体" w:cs="宋体"/>
          <w:color w:val="auto"/>
          <w:kern w:val="0"/>
          <w:szCs w:val="21"/>
          <w:highlight w:val="none"/>
          <w:u w:val="single"/>
        </w:rPr>
        <w:t>发包人变更除工伤保险之外的保险合同时，应事先征得承包人同意，并通知</w:t>
      </w:r>
      <w:r>
        <w:rPr>
          <w:rFonts w:hint="eastAsia" w:ascii="宋体" w:cs="宋体"/>
          <w:color w:val="auto"/>
          <w:kern w:val="0"/>
          <w:szCs w:val="21"/>
          <w:highlight w:val="none"/>
          <w:u w:val="single"/>
          <w:lang w:eastAsia="zh-CN"/>
        </w:rPr>
        <w:t>发包人</w:t>
      </w:r>
      <w:r>
        <w:rPr>
          <w:rFonts w:hint="eastAsia" w:ascii="宋体" w:cs="宋体"/>
          <w:color w:val="auto"/>
          <w:kern w:val="0"/>
          <w:szCs w:val="21"/>
          <w:highlight w:val="none"/>
          <w:u w:val="single"/>
        </w:rPr>
        <w:t>；承包人变更除工伤保险之外的保险合同时，应事先征得发包人同意，并通知</w:t>
      </w:r>
      <w:r>
        <w:rPr>
          <w:rFonts w:hint="eastAsia" w:ascii="宋体" w:cs="宋体"/>
          <w:color w:val="auto"/>
          <w:kern w:val="0"/>
          <w:szCs w:val="21"/>
          <w:highlight w:val="none"/>
          <w:u w:val="single"/>
          <w:lang w:eastAsia="zh-CN"/>
        </w:rPr>
        <w:t>发包人</w:t>
      </w:r>
      <w:r>
        <w:rPr>
          <w:rFonts w:hint="eastAsia" w:ascii="宋体" w:cs="宋体"/>
          <w:color w:val="auto"/>
          <w:kern w:val="0"/>
          <w:szCs w:val="21"/>
          <w:highlight w:val="none"/>
          <w:u w:val="single"/>
        </w:rPr>
        <w:t>。</w:t>
      </w:r>
    </w:p>
    <w:p>
      <w:pPr>
        <w:snapToGrid w:val="0"/>
        <w:spacing w:line="420" w:lineRule="exact"/>
        <w:ind w:firstLine="420" w:firstLineChars="200"/>
        <w:jc w:val="left"/>
        <w:rPr>
          <w:rFonts w:hint="eastAsia" w:ascii="宋体" w:cs="宋体"/>
          <w:color w:val="auto"/>
          <w:kern w:val="0"/>
          <w:szCs w:val="21"/>
          <w:highlight w:val="none"/>
          <w:u w:val="single"/>
        </w:rPr>
      </w:pPr>
      <w:r>
        <w:rPr>
          <w:rFonts w:hint="eastAsia" w:ascii="宋体" w:cs="宋体"/>
          <w:color w:val="auto"/>
          <w:kern w:val="0"/>
          <w:szCs w:val="21"/>
          <w:highlight w:val="none"/>
          <w:u w:val="single"/>
        </w:rPr>
        <w:t>保险事故发生时，投保人应按照保险合同规定的条件和期限及时向保险人报告。发包人和承包人应当在知道保险事故发生后及时通知对方。</w:t>
      </w:r>
    </w:p>
    <w:p>
      <w:pPr>
        <w:pStyle w:val="9"/>
        <w:snapToGrid w:val="0"/>
        <w:spacing w:before="0" w:after="0" w:line="420" w:lineRule="exact"/>
        <w:ind w:firstLine="420" w:firstLineChars="200"/>
        <w:rPr>
          <w:rFonts w:hint="eastAsia" w:ascii="宋体" w:eastAsia="宋体" w:cs="宋体"/>
          <w:b w:val="0"/>
          <w:color w:val="auto"/>
          <w:sz w:val="21"/>
          <w:szCs w:val="21"/>
          <w:highlight w:val="none"/>
        </w:rPr>
      </w:pPr>
      <w:r>
        <w:rPr>
          <w:rFonts w:hint="eastAsia" w:ascii="宋体" w:eastAsia="宋体" w:cs="宋体"/>
          <w:b w:val="0"/>
          <w:color w:val="auto"/>
          <w:sz w:val="21"/>
          <w:szCs w:val="21"/>
          <w:highlight w:val="none"/>
        </w:rPr>
        <w:t>20. 争议解决</w:t>
      </w:r>
    </w:p>
    <w:p>
      <w:pPr>
        <w:snapToGrid w:val="0"/>
        <w:spacing w:line="420" w:lineRule="exact"/>
        <w:ind w:firstLine="420" w:firstLineChars="200"/>
        <w:rPr>
          <w:rFonts w:hint="eastAsia" w:ascii="宋体" w:cs="宋体"/>
          <w:color w:val="auto"/>
          <w:szCs w:val="21"/>
          <w:highlight w:val="none"/>
        </w:rPr>
      </w:pPr>
      <w:r>
        <w:rPr>
          <w:rFonts w:hint="eastAsia" w:ascii="宋体" w:cs="宋体"/>
          <w:color w:val="auto"/>
          <w:szCs w:val="21"/>
          <w:highlight w:val="none"/>
        </w:rPr>
        <w:t>20.3 争议评审</w:t>
      </w:r>
    </w:p>
    <w:p>
      <w:pPr>
        <w:snapToGrid w:val="0"/>
        <w:spacing w:line="42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合同当事人是否同意将工程争议提交争议评审小组决定：</w:t>
      </w:r>
      <w:r>
        <w:rPr>
          <w:rFonts w:hint="eastAsia" w:ascii="宋体" w:cs="宋体"/>
          <w:color w:val="auto"/>
          <w:szCs w:val="21"/>
          <w:highlight w:val="none"/>
          <w:u w:val="single"/>
        </w:rPr>
        <w:t xml:space="preserve">  不同意   </w:t>
      </w:r>
      <w:r>
        <w:rPr>
          <w:rFonts w:hint="eastAsia" w:ascii="宋体" w:cs="宋体"/>
          <w:color w:val="auto"/>
          <w:szCs w:val="21"/>
          <w:highlight w:val="none"/>
        </w:rPr>
        <w:t xml:space="preserve">。  </w:t>
      </w:r>
    </w:p>
    <w:p>
      <w:pPr>
        <w:snapToGrid w:val="0"/>
        <w:spacing w:line="42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20.3.1 争议评审小组的确定</w:t>
      </w:r>
    </w:p>
    <w:p>
      <w:pPr>
        <w:snapToGrid w:val="0"/>
        <w:spacing w:line="420" w:lineRule="exact"/>
        <w:ind w:firstLine="420" w:firstLineChars="200"/>
        <w:jc w:val="left"/>
        <w:rPr>
          <w:rFonts w:hint="eastAsia" w:ascii="宋体" w:cs="宋体"/>
          <w:color w:val="auto"/>
          <w:szCs w:val="21"/>
          <w:highlight w:val="none"/>
          <w:u w:val="single"/>
        </w:rPr>
      </w:pPr>
      <w:r>
        <w:rPr>
          <w:rFonts w:hint="eastAsia" w:ascii="宋体" w:cs="宋体"/>
          <w:color w:val="auto"/>
          <w:szCs w:val="21"/>
          <w:highlight w:val="none"/>
        </w:rPr>
        <w:t>争议评审小组成员的确定：</w:t>
      </w: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snapToGrid w:val="0"/>
        <w:spacing w:line="42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选定争议评审员的期限：</w:t>
      </w: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snapToGrid w:val="0"/>
        <w:spacing w:line="42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争议评审小组成员的报酬承担方式：</w:t>
      </w: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snapToGrid w:val="0"/>
        <w:spacing w:line="42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其他事项的约定：</w:t>
      </w: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autoSpaceDE w:val="0"/>
        <w:autoSpaceDN w:val="0"/>
        <w:adjustRightInd w:val="0"/>
        <w:snapToGrid w:val="0"/>
        <w:spacing w:line="42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20.3.2 争议评审小组的决定</w:t>
      </w:r>
    </w:p>
    <w:p>
      <w:pPr>
        <w:snapToGrid w:val="0"/>
        <w:spacing w:line="420" w:lineRule="exact"/>
        <w:ind w:firstLine="420" w:firstLineChars="200"/>
        <w:jc w:val="left"/>
        <w:rPr>
          <w:rFonts w:hint="eastAsia" w:ascii="宋体" w:cs="宋体"/>
          <w:color w:val="auto"/>
          <w:szCs w:val="21"/>
          <w:highlight w:val="none"/>
        </w:rPr>
      </w:pPr>
      <w:r>
        <w:rPr>
          <w:rFonts w:hint="eastAsia" w:ascii="宋体" w:cs="宋体"/>
          <w:color w:val="auto"/>
          <w:szCs w:val="21"/>
          <w:highlight w:val="none"/>
        </w:rPr>
        <w:t>合同当事人关于本项的约定：</w:t>
      </w:r>
      <w:r>
        <w:rPr>
          <w:rFonts w:hint="eastAsia" w:ascii="宋体" w:cs="宋体"/>
          <w:color w:val="auto"/>
          <w:szCs w:val="21"/>
          <w:highlight w:val="none"/>
          <w:u w:val="single"/>
        </w:rPr>
        <w:t xml:space="preserve">  无   </w:t>
      </w:r>
      <w:r>
        <w:rPr>
          <w:rFonts w:hint="eastAsia" w:ascii="宋体" w:cs="宋体"/>
          <w:color w:val="auto"/>
          <w:szCs w:val="21"/>
          <w:highlight w:val="none"/>
        </w:rPr>
        <w:t>。</w:t>
      </w:r>
    </w:p>
    <w:p>
      <w:pPr>
        <w:autoSpaceDE w:val="0"/>
        <w:autoSpaceDN w:val="0"/>
        <w:adjustRightInd w:val="0"/>
        <w:snapToGrid w:val="0"/>
        <w:spacing w:line="42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20.4仲裁或诉讼</w:t>
      </w:r>
    </w:p>
    <w:p>
      <w:pPr>
        <w:autoSpaceDE w:val="0"/>
        <w:autoSpaceDN w:val="0"/>
        <w:adjustRightInd w:val="0"/>
        <w:snapToGrid w:val="0"/>
        <w:spacing w:line="420" w:lineRule="exact"/>
        <w:ind w:firstLine="420" w:firstLineChars="200"/>
        <w:jc w:val="left"/>
        <w:rPr>
          <w:rFonts w:hint="eastAsia" w:ascii="宋体" w:cs="宋体"/>
          <w:color w:val="auto"/>
          <w:kern w:val="0"/>
          <w:szCs w:val="21"/>
          <w:highlight w:val="none"/>
        </w:rPr>
      </w:pPr>
      <w:r>
        <w:rPr>
          <w:rFonts w:hint="eastAsia" w:ascii="宋体" w:cs="宋体"/>
          <w:color w:val="auto"/>
          <w:kern w:val="0"/>
          <w:szCs w:val="21"/>
          <w:highlight w:val="none"/>
        </w:rPr>
        <w:t>因合同及合同有关事项发生的争议，按下列第</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u w:val="single"/>
          <w:lang w:val="en-US" w:eastAsia="zh-CN"/>
        </w:rPr>
        <w:t xml:space="preserve"> 1 </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rPr>
        <w:t>种方式解决：</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420" w:lineRule="exact"/>
        <w:ind w:left="317" w:firstLine="0" w:firstLineChars="0"/>
        <w:jc w:val="both"/>
        <w:textAlignment w:val="auto"/>
        <w:rPr>
          <w:rFonts w:hint="eastAsia" w:ascii="宋体" w:cs="宋体"/>
          <w:color w:val="auto"/>
          <w:kern w:val="0"/>
          <w:szCs w:val="21"/>
          <w:highlight w:val="none"/>
        </w:rPr>
      </w:pPr>
      <w:r>
        <w:rPr>
          <w:rFonts w:hint="eastAsia" w:ascii="宋体" w:cs="宋体"/>
          <w:color w:val="auto"/>
          <w:kern w:val="0"/>
          <w:szCs w:val="21"/>
          <w:highlight w:val="none"/>
        </w:rPr>
        <w:t>向</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u w:val="single"/>
          <w:lang w:val="en-US" w:eastAsia="zh-CN"/>
        </w:rPr>
        <w:t>滁州</w:t>
      </w:r>
      <w:r>
        <w:rPr>
          <w:rFonts w:hint="eastAsia" w:ascii="宋体" w:cs="宋体"/>
          <w:color w:val="auto"/>
          <w:kern w:val="0"/>
          <w:szCs w:val="21"/>
          <w:highlight w:val="none"/>
          <w:u w:val="single"/>
        </w:rPr>
        <w:t xml:space="preserve">   </w:t>
      </w:r>
      <w:r>
        <w:rPr>
          <w:rFonts w:hint="eastAsia" w:ascii="宋体" w:cs="宋体"/>
          <w:color w:val="auto"/>
          <w:kern w:val="0"/>
          <w:szCs w:val="21"/>
          <w:highlight w:val="none"/>
        </w:rPr>
        <w:t>仲裁委员会申请仲裁；</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420" w:lineRule="exact"/>
        <w:ind w:left="317" w:firstLine="0" w:firstLineChars="0"/>
        <w:jc w:val="both"/>
        <w:textAlignment w:val="auto"/>
        <w:rPr>
          <w:rFonts w:hint="eastAsia" w:ascii="宋体" w:cs="宋体"/>
          <w:color w:val="auto"/>
          <w:kern w:val="0"/>
          <w:szCs w:val="21"/>
          <w:highlight w:val="none"/>
        </w:rPr>
      </w:pPr>
      <w:r>
        <w:rPr>
          <w:rFonts w:hint="eastAsia" w:ascii="宋体" w:cs="宋体"/>
          <w:color w:val="auto"/>
          <w:kern w:val="0"/>
          <w:szCs w:val="21"/>
          <w:highlight w:val="none"/>
        </w:rPr>
        <w:t>向</w:t>
      </w:r>
      <w:r>
        <w:rPr>
          <w:rFonts w:hint="eastAsia" w:ascii="宋体" w:hAnsi="宋体" w:cs="宋体"/>
          <w:color w:val="auto"/>
          <w:szCs w:val="21"/>
          <w:highlight w:val="none"/>
          <w:u w:val="single"/>
        </w:rPr>
        <w:t>工程所在地</w:t>
      </w:r>
      <w:r>
        <w:rPr>
          <w:rFonts w:hint="eastAsia" w:ascii="宋体" w:cs="宋体"/>
          <w:color w:val="auto"/>
          <w:kern w:val="0"/>
          <w:szCs w:val="21"/>
          <w:highlight w:val="none"/>
        </w:rPr>
        <w:t>人民法院起诉。</w:t>
      </w:r>
    </w:p>
    <w:p>
      <w:pPr>
        <w:pStyle w:val="9"/>
        <w:snapToGrid w:val="0"/>
        <w:spacing w:before="0" w:after="0" w:line="420" w:lineRule="exact"/>
        <w:ind w:firstLine="420" w:firstLineChars="200"/>
        <w:rPr>
          <w:rFonts w:hint="eastAsia" w:ascii="宋体" w:eastAsia="宋体" w:cs="宋体"/>
          <w:b w:val="0"/>
          <w:color w:val="auto"/>
          <w:sz w:val="21"/>
          <w:szCs w:val="21"/>
          <w:highlight w:val="none"/>
        </w:rPr>
      </w:pPr>
      <w:bookmarkStart w:id="896" w:name="_Toc95223485"/>
      <w:r>
        <w:rPr>
          <w:rFonts w:hint="eastAsia" w:ascii="宋体" w:eastAsia="宋体" w:cs="宋体"/>
          <w:b w:val="0"/>
          <w:color w:val="auto"/>
          <w:sz w:val="21"/>
          <w:szCs w:val="21"/>
          <w:highlight w:val="none"/>
        </w:rPr>
        <w:t>21. 补充条款</w:t>
      </w:r>
      <w:bookmarkEnd w:id="896"/>
      <w:r>
        <w:rPr>
          <w:rFonts w:hint="eastAsia" w:ascii="宋体" w:eastAsia="宋体" w:cs="宋体"/>
          <w:b w:val="0"/>
          <w:color w:val="auto"/>
          <w:sz w:val="21"/>
          <w:szCs w:val="21"/>
          <w:highlight w:val="none"/>
          <w:lang w:eastAsia="zh-CN"/>
        </w:rPr>
        <w:t>：/</w:t>
      </w:r>
      <w:r>
        <w:rPr>
          <w:rFonts w:hint="eastAsia" w:ascii="宋体" w:eastAsia="宋体" w:cs="宋体"/>
          <w:b w:val="0"/>
          <w:color w:val="auto"/>
          <w:sz w:val="21"/>
          <w:szCs w:val="21"/>
          <w:highlight w:val="none"/>
        </w:rPr>
        <w:t xml:space="preserve"> </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发包人：  (公章)                           承包人：  (公章)</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法定代表人或其委托代理人：                 法定代表人或其委托代理人：</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（签字）                                  （签字）</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组织机构代码：</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组织机构代码：</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地  址：</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地  址：</w:t>
      </w:r>
      <w:r>
        <w:rPr>
          <w:rFonts w:hint="eastAsia" w:ascii="宋体" w:hAnsi="宋体" w:cs="宋体"/>
          <w:color w:val="auto"/>
          <w:highlight w:val="none"/>
          <w:u w:val="single"/>
        </w:rPr>
        <w:t xml:space="preserve">                  </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邮政编码：</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邮政编码：</w:t>
      </w:r>
      <w:r>
        <w:rPr>
          <w:rFonts w:hint="eastAsia" w:ascii="宋体" w:hAnsi="宋体" w:cs="宋体"/>
          <w:color w:val="auto"/>
          <w:highlight w:val="none"/>
          <w:u w:val="single"/>
        </w:rPr>
        <w:t xml:space="preserve">                   </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法定代表人：</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法定代表人：</w:t>
      </w:r>
      <w:r>
        <w:rPr>
          <w:rFonts w:hint="eastAsia" w:ascii="宋体" w:hAnsi="宋体" w:cs="宋体"/>
          <w:color w:val="auto"/>
          <w:highlight w:val="none"/>
          <w:u w:val="single"/>
        </w:rPr>
        <w:t xml:space="preserve">             </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委托代理人：</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委托代理人：</w:t>
      </w:r>
      <w:r>
        <w:rPr>
          <w:rFonts w:hint="eastAsia" w:ascii="宋体" w:hAnsi="宋体" w:cs="宋体"/>
          <w:color w:val="auto"/>
          <w:highlight w:val="none"/>
          <w:u w:val="single"/>
        </w:rPr>
        <w:t xml:space="preserve">                 </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电  话：</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电  话：</w:t>
      </w:r>
      <w:r>
        <w:rPr>
          <w:rFonts w:hint="eastAsia" w:ascii="宋体" w:hAnsi="宋体" w:cs="宋体"/>
          <w:color w:val="auto"/>
          <w:highlight w:val="none"/>
          <w:u w:val="single"/>
        </w:rPr>
        <w:t xml:space="preserve">                     </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传  真：</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传  真：</w:t>
      </w:r>
      <w:r>
        <w:rPr>
          <w:rFonts w:hint="eastAsia" w:ascii="宋体" w:hAnsi="宋体" w:cs="宋体"/>
          <w:color w:val="auto"/>
          <w:highlight w:val="none"/>
          <w:u w:val="single"/>
        </w:rPr>
        <w:t xml:space="preserve">                   </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电子信箱：</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电子信箱：</w:t>
      </w:r>
      <w:r>
        <w:rPr>
          <w:rFonts w:hint="eastAsia" w:ascii="宋体" w:hAnsi="宋体" w:cs="宋体"/>
          <w:color w:val="auto"/>
          <w:highlight w:val="none"/>
          <w:u w:val="single"/>
        </w:rPr>
        <w:t xml:space="preserve">                   </w:t>
      </w:r>
    </w:p>
    <w:p>
      <w:pPr>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开户银行：</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开户银行：</w:t>
      </w:r>
      <w:r>
        <w:rPr>
          <w:rFonts w:hint="eastAsia" w:ascii="宋体" w:hAnsi="宋体" w:cs="宋体"/>
          <w:color w:val="auto"/>
          <w:highlight w:val="none"/>
          <w:u w:val="single"/>
        </w:rPr>
        <w:t xml:space="preserve">                   </w:t>
      </w:r>
    </w:p>
    <w:p>
      <w:pPr>
        <w:adjustRightInd w:val="0"/>
        <w:snapToGrid w:val="0"/>
        <w:spacing w:line="360" w:lineRule="auto"/>
        <w:rPr>
          <w:rFonts w:hint="eastAsia" w:ascii="宋体" w:hAnsi="宋体" w:cs="宋体"/>
          <w:color w:val="auto"/>
          <w:highlight w:val="none"/>
          <w:u w:val="single"/>
        </w:rPr>
      </w:pPr>
      <w:r>
        <w:rPr>
          <w:rFonts w:hint="eastAsia" w:ascii="宋体" w:hAnsi="宋体" w:cs="宋体"/>
          <w:color w:val="auto"/>
          <w:highlight w:val="none"/>
        </w:rPr>
        <w:t>账  号：</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账  号：</w:t>
      </w:r>
      <w:r>
        <w:rPr>
          <w:rFonts w:hint="eastAsia" w:ascii="宋体" w:hAnsi="宋体" w:cs="宋体"/>
          <w:color w:val="auto"/>
          <w:highlight w:val="none"/>
          <w:u w:val="single"/>
        </w:rPr>
        <w:t xml:space="preserve">                     </w:t>
      </w:r>
    </w:p>
    <w:bookmarkEnd w:id="865"/>
    <w:bookmarkEnd w:id="866"/>
    <w:bookmarkEnd w:id="867"/>
    <w:bookmarkEnd w:id="868"/>
    <w:bookmarkEnd w:id="894"/>
    <w:bookmarkEnd w:id="895"/>
    <w:p>
      <w:pPr>
        <w:rPr>
          <w:rFonts w:hint="eastAsia" w:ascii="宋体" w:hAnsi="宋体" w:cs="宋体"/>
          <w:bCs/>
          <w:color w:val="auto"/>
          <w:sz w:val="24"/>
          <w:highlight w:val="none"/>
        </w:rPr>
      </w:pPr>
      <w:bookmarkStart w:id="897" w:name="_Toc95223487"/>
      <w:bookmarkStart w:id="898" w:name="_Toc35425136"/>
      <w:bookmarkStart w:id="899" w:name="_Toc246997097"/>
      <w:bookmarkStart w:id="900" w:name="_Toc152042575"/>
      <w:bookmarkStart w:id="901" w:name="_Toc246996354"/>
      <w:bookmarkStart w:id="902" w:name="_Toc144974855"/>
      <w:bookmarkStart w:id="903" w:name="_Toc179632806"/>
      <w:bookmarkStart w:id="904" w:name="_Toc15058934"/>
      <w:bookmarkStart w:id="905" w:name="_Toc35424970"/>
      <w:bookmarkStart w:id="906" w:name="_Toc247085872"/>
      <w:bookmarkStart w:id="907" w:name="_Toc324404888"/>
      <w:bookmarkStart w:id="908" w:name="_Toc152045786"/>
      <w:bookmarkStart w:id="909" w:name="_Toc78803398"/>
      <w:bookmarkStart w:id="910" w:name="_Toc506107340"/>
    </w:p>
    <w:p>
      <w:pPr>
        <w:rPr>
          <w:rFonts w:hint="eastAsia" w:ascii="宋体" w:hAnsi="宋体" w:cs="宋体"/>
          <w:bCs/>
          <w:color w:val="auto"/>
          <w:sz w:val="24"/>
          <w:highlight w:val="none"/>
        </w:rPr>
      </w:pPr>
      <w:r>
        <w:rPr>
          <w:rFonts w:hint="eastAsia" w:ascii="宋体" w:hAnsi="宋体" w:cs="宋体"/>
          <w:bCs/>
          <w:color w:val="auto"/>
          <w:sz w:val="24"/>
          <w:highlight w:val="none"/>
        </w:rPr>
        <w:br w:type="page"/>
      </w:r>
    </w:p>
    <w:p>
      <w:pPr>
        <w:keepNext/>
        <w:keepLines/>
        <w:spacing w:before="120" w:after="120" w:line="360" w:lineRule="auto"/>
        <w:jc w:val="left"/>
        <w:outlineLvl w:val="2"/>
        <w:rPr>
          <w:rFonts w:hint="eastAsia" w:ascii="宋体" w:hAnsi="宋体" w:cs="宋体"/>
          <w:bCs/>
          <w:color w:val="auto"/>
          <w:sz w:val="24"/>
          <w:highlight w:val="none"/>
        </w:rPr>
      </w:pPr>
      <w:r>
        <w:rPr>
          <w:rFonts w:hint="eastAsia" w:ascii="宋体" w:hAnsi="宋体" w:cs="宋体"/>
          <w:bCs/>
          <w:color w:val="auto"/>
          <w:sz w:val="24"/>
          <w:highlight w:val="none"/>
        </w:rPr>
        <w:t>附</w:t>
      </w:r>
      <w:bookmarkStart w:id="911" w:name="_Toc296891265"/>
      <w:bookmarkStart w:id="912" w:name="_Toc296503225"/>
      <w:bookmarkStart w:id="913" w:name="_Toc296944564"/>
      <w:bookmarkStart w:id="914" w:name="_Toc296346726"/>
      <w:bookmarkStart w:id="915" w:name="_Toc296891053"/>
      <w:bookmarkStart w:id="916" w:name="_Toc267261692"/>
      <w:bookmarkStart w:id="917" w:name="_Toc296347224"/>
      <w:r>
        <w:rPr>
          <w:rFonts w:hint="eastAsia" w:ascii="宋体" w:hAnsi="宋体" w:cs="宋体"/>
          <w:bCs/>
          <w:color w:val="auto"/>
          <w:sz w:val="24"/>
          <w:highlight w:val="none"/>
        </w:rPr>
        <w:t>件</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：发包人供应材料设备一览表</w:t>
      </w:r>
      <w:bookmarkEnd w:id="897"/>
    </w:p>
    <w:bookmarkEnd w:id="911"/>
    <w:bookmarkEnd w:id="912"/>
    <w:bookmarkEnd w:id="913"/>
    <w:bookmarkEnd w:id="914"/>
    <w:bookmarkEnd w:id="915"/>
    <w:bookmarkEnd w:id="916"/>
    <w:bookmarkEnd w:id="917"/>
    <w:p>
      <w:pPr>
        <w:spacing w:line="360" w:lineRule="auto"/>
        <w:jc w:val="center"/>
        <w:rPr>
          <w:rFonts w:hint="eastAsia" w:ascii="宋体" w:hAnsi="宋体" w:cs="宋体"/>
          <w:color w:val="auto"/>
          <w:sz w:val="22"/>
          <w:szCs w:val="21"/>
          <w:highlight w:val="none"/>
        </w:rPr>
      </w:pPr>
      <w:r>
        <w:rPr>
          <w:rFonts w:hint="eastAsia" w:ascii="宋体" w:hAnsi="宋体" w:cs="宋体"/>
          <w:color w:val="auto"/>
          <w:sz w:val="22"/>
          <w:szCs w:val="21"/>
          <w:highlight w:val="none"/>
        </w:rPr>
        <w:t>发包人供应材料设备一览表</w:t>
      </w:r>
    </w:p>
    <w:tbl>
      <w:tblPr>
        <w:tblStyle w:val="46"/>
        <w:tblW w:w="965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082"/>
        <w:gridCol w:w="940"/>
        <w:gridCol w:w="851"/>
        <w:gridCol w:w="1044"/>
        <w:gridCol w:w="992"/>
        <w:gridCol w:w="851"/>
        <w:gridCol w:w="966"/>
        <w:gridCol w:w="80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51" w:type="dxa"/>
            <w:tcBorders>
              <w:top w:val="single" w:color="auto" w:sz="12" w:space="0"/>
              <w:bottom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r>
              <w:rPr>
                <w:rFonts w:hint="eastAsia" w:ascii="宋体" w:hAnsi="宋体" w:cs="宋体"/>
                <w:color w:val="auto"/>
                <w:sz w:val="22"/>
                <w:szCs w:val="21"/>
                <w:highlight w:val="none"/>
              </w:rPr>
              <w:t>序号</w:t>
            </w:r>
          </w:p>
        </w:tc>
        <w:tc>
          <w:tcPr>
            <w:tcW w:w="1276" w:type="dxa"/>
            <w:tcBorders>
              <w:top w:val="single" w:color="auto" w:sz="12" w:space="0"/>
              <w:bottom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r>
              <w:rPr>
                <w:rFonts w:hint="eastAsia" w:ascii="宋体" w:hAnsi="宋体" w:cs="宋体"/>
                <w:color w:val="auto"/>
                <w:sz w:val="22"/>
                <w:szCs w:val="21"/>
                <w:highlight w:val="none"/>
              </w:rPr>
              <w:t>材料、设备品种</w:t>
            </w:r>
          </w:p>
        </w:tc>
        <w:tc>
          <w:tcPr>
            <w:tcW w:w="1082" w:type="dxa"/>
            <w:tcBorders>
              <w:top w:val="single" w:color="auto" w:sz="12" w:space="0"/>
              <w:bottom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r>
              <w:rPr>
                <w:rFonts w:hint="eastAsia" w:ascii="宋体" w:hAnsi="宋体" w:cs="宋体"/>
                <w:color w:val="auto"/>
                <w:sz w:val="22"/>
                <w:szCs w:val="21"/>
                <w:highlight w:val="none"/>
              </w:rPr>
              <w:t>规格型号</w:t>
            </w:r>
          </w:p>
        </w:tc>
        <w:tc>
          <w:tcPr>
            <w:tcW w:w="940" w:type="dxa"/>
            <w:tcBorders>
              <w:top w:val="single" w:color="auto" w:sz="12" w:space="0"/>
              <w:bottom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r>
              <w:rPr>
                <w:rFonts w:hint="eastAsia" w:ascii="宋体" w:hAnsi="宋体" w:cs="宋体"/>
                <w:color w:val="auto"/>
                <w:sz w:val="22"/>
                <w:szCs w:val="21"/>
                <w:highlight w:val="none"/>
              </w:rPr>
              <w:t>单位</w:t>
            </w:r>
          </w:p>
        </w:tc>
        <w:tc>
          <w:tcPr>
            <w:tcW w:w="851" w:type="dxa"/>
            <w:tcBorders>
              <w:top w:val="single" w:color="auto" w:sz="12" w:space="0"/>
              <w:bottom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r>
              <w:rPr>
                <w:rFonts w:hint="eastAsia" w:ascii="宋体" w:hAnsi="宋体" w:cs="宋体"/>
                <w:color w:val="auto"/>
                <w:sz w:val="22"/>
                <w:szCs w:val="21"/>
                <w:highlight w:val="none"/>
              </w:rPr>
              <w:t>数量</w:t>
            </w:r>
          </w:p>
        </w:tc>
        <w:tc>
          <w:tcPr>
            <w:tcW w:w="1044" w:type="dxa"/>
            <w:tcBorders>
              <w:top w:val="single" w:color="auto" w:sz="12" w:space="0"/>
              <w:bottom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r>
              <w:rPr>
                <w:rFonts w:hint="eastAsia" w:ascii="宋体" w:hAnsi="宋体" w:cs="宋体"/>
                <w:color w:val="auto"/>
                <w:sz w:val="22"/>
                <w:szCs w:val="21"/>
                <w:highlight w:val="none"/>
              </w:rPr>
              <w:t>单价（元）</w:t>
            </w:r>
          </w:p>
        </w:tc>
        <w:tc>
          <w:tcPr>
            <w:tcW w:w="992" w:type="dxa"/>
            <w:tcBorders>
              <w:top w:val="single" w:color="auto" w:sz="12" w:space="0"/>
              <w:bottom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r>
              <w:rPr>
                <w:rFonts w:hint="eastAsia" w:ascii="宋体" w:hAnsi="宋体" w:cs="宋体"/>
                <w:color w:val="auto"/>
                <w:sz w:val="22"/>
                <w:szCs w:val="21"/>
                <w:highlight w:val="none"/>
              </w:rPr>
              <w:t>质量等级</w:t>
            </w:r>
          </w:p>
        </w:tc>
        <w:tc>
          <w:tcPr>
            <w:tcW w:w="851" w:type="dxa"/>
            <w:tcBorders>
              <w:top w:val="single" w:color="auto" w:sz="12" w:space="0"/>
              <w:bottom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r>
              <w:rPr>
                <w:rFonts w:hint="eastAsia" w:ascii="宋体" w:hAnsi="宋体" w:cs="宋体"/>
                <w:color w:val="auto"/>
                <w:sz w:val="22"/>
                <w:szCs w:val="21"/>
                <w:highlight w:val="none"/>
              </w:rPr>
              <w:t>供应时间</w:t>
            </w:r>
          </w:p>
        </w:tc>
        <w:tc>
          <w:tcPr>
            <w:tcW w:w="966" w:type="dxa"/>
            <w:tcBorders>
              <w:top w:val="single" w:color="auto" w:sz="12" w:space="0"/>
              <w:bottom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r>
              <w:rPr>
                <w:rFonts w:hint="eastAsia" w:ascii="宋体" w:hAnsi="宋体" w:cs="宋体"/>
                <w:color w:val="auto"/>
                <w:sz w:val="22"/>
                <w:szCs w:val="21"/>
                <w:highlight w:val="none"/>
              </w:rPr>
              <w:t>送达地点</w:t>
            </w:r>
          </w:p>
        </w:tc>
        <w:tc>
          <w:tcPr>
            <w:tcW w:w="803" w:type="dxa"/>
            <w:tcBorders>
              <w:top w:val="single" w:color="auto" w:sz="12" w:space="0"/>
              <w:bottom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r>
              <w:rPr>
                <w:rFonts w:hint="eastAsia" w:ascii="宋体" w:hAnsi="宋体" w:cs="宋体"/>
                <w:color w:val="auto"/>
                <w:sz w:val="22"/>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51" w:type="dxa"/>
            <w:tcBorders>
              <w:top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1276" w:type="dxa"/>
            <w:tcBorders>
              <w:top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1082" w:type="dxa"/>
            <w:tcBorders>
              <w:top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940" w:type="dxa"/>
            <w:tcBorders>
              <w:top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851" w:type="dxa"/>
            <w:tcBorders>
              <w:top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1044" w:type="dxa"/>
            <w:tcBorders>
              <w:top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992" w:type="dxa"/>
            <w:tcBorders>
              <w:top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851" w:type="dxa"/>
            <w:tcBorders>
              <w:top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966" w:type="dxa"/>
            <w:tcBorders>
              <w:top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803" w:type="dxa"/>
            <w:tcBorders>
              <w:top w:val="double" w:color="auto" w:sz="6" w:space="0"/>
            </w:tcBorders>
            <w:noWrap w:val="0"/>
            <w:vAlign w:val="center"/>
          </w:tcPr>
          <w:p>
            <w:pPr>
              <w:keepNext/>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51" w:type="dxa"/>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1276" w:type="dxa"/>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1082" w:type="dxa"/>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940" w:type="dxa"/>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851" w:type="dxa"/>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1044" w:type="dxa"/>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992" w:type="dxa"/>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851" w:type="dxa"/>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966" w:type="dxa"/>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803" w:type="dxa"/>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51" w:type="dxa"/>
            <w:tcBorders>
              <w:bottom w:val="single" w:color="auto" w:sz="12" w:space="0"/>
            </w:tcBorders>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1276" w:type="dxa"/>
            <w:tcBorders>
              <w:bottom w:val="single" w:color="auto" w:sz="12" w:space="0"/>
            </w:tcBorders>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1082" w:type="dxa"/>
            <w:tcBorders>
              <w:bottom w:val="single" w:color="auto" w:sz="12" w:space="0"/>
            </w:tcBorders>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940" w:type="dxa"/>
            <w:tcBorders>
              <w:bottom w:val="single" w:color="auto" w:sz="12" w:space="0"/>
            </w:tcBorders>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851" w:type="dxa"/>
            <w:tcBorders>
              <w:bottom w:val="single" w:color="auto" w:sz="12" w:space="0"/>
            </w:tcBorders>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1044" w:type="dxa"/>
            <w:tcBorders>
              <w:bottom w:val="single" w:color="auto" w:sz="12" w:space="0"/>
            </w:tcBorders>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992" w:type="dxa"/>
            <w:tcBorders>
              <w:bottom w:val="single" w:color="auto" w:sz="12" w:space="0"/>
            </w:tcBorders>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851" w:type="dxa"/>
            <w:tcBorders>
              <w:bottom w:val="single" w:color="auto" w:sz="12" w:space="0"/>
            </w:tcBorders>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966" w:type="dxa"/>
            <w:tcBorders>
              <w:bottom w:val="single" w:color="auto" w:sz="12" w:space="0"/>
            </w:tcBorders>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c>
          <w:tcPr>
            <w:tcW w:w="803" w:type="dxa"/>
            <w:tcBorders>
              <w:bottom w:val="single" w:color="auto" w:sz="12" w:space="0"/>
            </w:tcBorders>
            <w:noWrap w:val="0"/>
            <w:vAlign w:val="center"/>
          </w:tcPr>
          <w:p>
            <w:pPr>
              <w:keepNext w:val="0"/>
              <w:keepLines w:val="0"/>
              <w:suppressLineNumbers w:val="0"/>
              <w:snapToGrid w:val="0"/>
              <w:spacing w:before="0" w:beforeAutospacing="0" w:after="0" w:afterAutospacing="0" w:line="360" w:lineRule="auto"/>
              <w:ind w:left="0" w:right="0"/>
              <w:rPr>
                <w:rFonts w:hint="eastAsia" w:ascii="宋体" w:hAnsi="宋体" w:cs="宋体"/>
                <w:color w:val="auto"/>
                <w:sz w:val="22"/>
                <w:szCs w:val="21"/>
                <w:highlight w:val="none"/>
              </w:rPr>
            </w:pPr>
          </w:p>
        </w:tc>
      </w:tr>
    </w:tbl>
    <w:p>
      <w:pPr>
        <w:pStyle w:val="2"/>
        <w:rPr>
          <w:rFonts w:hint="eastAsia"/>
          <w:color w:val="auto"/>
          <w:highlight w:val="none"/>
        </w:rPr>
      </w:pPr>
    </w:p>
    <w:p>
      <w:pPr>
        <w:rPr>
          <w:rFonts w:hint="eastAsia" w:ascii="宋体" w:hAnsi="宋体" w:cs="宋体"/>
          <w:bCs/>
          <w:color w:val="auto"/>
          <w:sz w:val="24"/>
          <w:highlight w:val="none"/>
        </w:rPr>
      </w:pPr>
      <w:bookmarkStart w:id="918" w:name="_Toc95223490"/>
      <w:r>
        <w:rPr>
          <w:rFonts w:hint="eastAsia" w:ascii="宋体" w:hAnsi="宋体" w:cs="宋体"/>
          <w:bCs/>
          <w:color w:val="auto"/>
          <w:sz w:val="24"/>
          <w:highlight w:val="none"/>
        </w:rPr>
        <w:br w:type="page"/>
      </w:r>
    </w:p>
    <w:p>
      <w:pPr>
        <w:keepNext/>
        <w:keepLines/>
        <w:spacing w:before="120" w:after="120" w:line="360" w:lineRule="auto"/>
        <w:jc w:val="left"/>
        <w:outlineLvl w:val="2"/>
        <w:rPr>
          <w:rFonts w:hint="eastAsia" w:ascii="宋体" w:hAnsi="宋体" w:cs="宋体"/>
          <w:bCs/>
          <w:color w:val="auto"/>
          <w:sz w:val="24"/>
          <w:highlight w:val="none"/>
        </w:rPr>
      </w:pPr>
      <w:r>
        <w:rPr>
          <w:rFonts w:hint="eastAsia" w:ascii="宋体" w:hAnsi="宋体" w:cs="宋体"/>
          <w:bCs/>
          <w:color w:val="auto"/>
          <w:sz w:val="24"/>
          <w:highlight w:val="none"/>
        </w:rPr>
        <w:t>附</w:t>
      </w:r>
      <w:bookmarkStart w:id="919" w:name="_Toc296944565"/>
      <w:bookmarkStart w:id="920" w:name="_Toc296891266"/>
      <w:bookmarkStart w:id="921" w:name="_Toc296891054"/>
      <w:bookmarkStart w:id="922" w:name="_Toc296503226"/>
      <w:bookmarkStart w:id="923" w:name="_Toc267261693"/>
      <w:bookmarkStart w:id="924" w:name="_Toc296347225"/>
      <w:bookmarkStart w:id="925" w:name="_Toc296346727"/>
      <w:r>
        <w:rPr>
          <w:rFonts w:hint="eastAsia" w:ascii="宋体" w:hAnsi="宋体" w:cs="宋体"/>
          <w:bCs/>
          <w:color w:val="auto"/>
          <w:sz w:val="24"/>
          <w:highlight w:val="none"/>
        </w:rPr>
        <w:t>件</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w:t>
      </w:r>
      <w:bookmarkEnd w:id="919"/>
      <w:bookmarkEnd w:id="920"/>
      <w:bookmarkEnd w:id="921"/>
      <w:bookmarkEnd w:id="922"/>
      <w:bookmarkEnd w:id="923"/>
      <w:bookmarkEnd w:id="924"/>
      <w:bookmarkEnd w:id="925"/>
      <w:r>
        <w:rPr>
          <w:rFonts w:hint="eastAsia" w:ascii="宋体" w:hAnsi="宋体" w:cs="宋体"/>
          <w:bCs/>
          <w:color w:val="auto"/>
          <w:sz w:val="24"/>
          <w:highlight w:val="none"/>
        </w:rPr>
        <w:t>工程质量保修书</w:t>
      </w:r>
    </w:p>
    <w:p>
      <w:pPr>
        <w:adjustRightInd w:val="0"/>
        <w:snapToGrid w:val="0"/>
        <w:spacing w:line="360" w:lineRule="auto"/>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工程质量保修书</w:t>
      </w:r>
    </w:p>
    <w:p>
      <w:pPr>
        <w:adjustRightInd w:val="0"/>
        <w:snapToGrid w:val="0"/>
        <w:spacing w:line="360" w:lineRule="auto"/>
        <w:ind w:firstLine="420" w:firstLineChars="200"/>
        <w:rPr>
          <w:rFonts w:hint="eastAsia" w:ascii="宋体" w:hAnsi="宋体" w:cs="宋体"/>
          <w:color w:val="auto"/>
          <w:kern w:val="0"/>
          <w:position w:val="14"/>
          <w:szCs w:val="21"/>
          <w:highlight w:val="none"/>
        </w:rPr>
      </w:pPr>
      <w:r>
        <w:rPr>
          <w:rFonts w:hint="eastAsia" w:ascii="宋体" w:hAnsi="宋体" w:cs="宋体"/>
          <w:bCs/>
          <w:color w:val="auto"/>
          <w:kern w:val="0"/>
          <w:position w:val="14"/>
          <w:szCs w:val="21"/>
          <w:highlight w:val="none"/>
        </w:rPr>
        <w:t>发包人</w:t>
      </w:r>
      <w:r>
        <w:rPr>
          <w:rFonts w:hint="eastAsia" w:ascii="宋体" w:hAnsi="宋体" w:cs="宋体"/>
          <w:color w:val="auto"/>
          <w:kern w:val="0"/>
          <w:position w:val="14"/>
          <w:szCs w:val="21"/>
          <w:highlight w:val="none"/>
        </w:rPr>
        <w:t>：_______________________________</w:t>
      </w:r>
    </w:p>
    <w:p>
      <w:pPr>
        <w:widowControl/>
        <w:adjustRightInd w:val="0"/>
        <w:snapToGrid w:val="0"/>
        <w:spacing w:line="360" w:lineRule="auto"/>
        <w:ind w:firstLine="420" w:firstLineChars="200"/>
        <w:jc w:val="left"/>
        <w:rPr>
          <w:rFonts w:hint="eastAsia" w:ascii="宋体" w:hAnsi="宋体" w:cs="宋体"/>
          <w:color w:val="auto"/>
          <w:kern w:val="0"/>
          <w:position w:val="14"/>
          <w:szCs w:val="21"/>
          <w:highlight w:val="none"/>
        </w:rPr>
      </w:pPr>
      <w:r>
        <w:rPr>
          <w:rFonts w:hint="eastAsia" w:ascii="宋体" w:hAnsi="宋体" w:cs="宋体"/>
          <w:bCs/>
          <w:color w:val="auto"/>
          <w:kern w:val="0"/>
          <w:position w:val="14"/>
          <w:szCs w:val="21"/>
          <w:highlight w:val="none"/>
        </w:rPr>
        <w:t>承包人</w:t>
      </w:r>
      <w:r>
        <w:rPr>
          <w:rFonts w:hint="eastAsia" w:ascii="宋体" w:hAnsi="宋体" w:cs="宋体"/>
          <w:color w:val="auto"/>
          <w:kern w:val="0"/>
          <w:position w:val="14"/>
          <w:szCs w:val="21"/>
          <w:highlight w:val="none"/>
        </w:rPr>
        <w:t>：_______________________________</w:t>
      </w:r>
    </w:p>
    <w:p>
      <w:pPr>
        <w:widowControl/>
        <w:adjustRightInd w:val="0"/>
        <w:snapToGrid w:val="0"/>
        <w:spacing w:line="360" w:lineRule="auto"/>
        <w:ind w:firstLine="420" w:firstLineChars="200"/>
        <w:jc w:val="left"/>
        <w:rPr>
          <w:rFonts w:hint="eastAsia" w:ascii="宋体" w:hAnsi="宋体" w:cs="宋体"/>
          <w:color w:val="auto"/>
          <w:kern w:val="0"/>
          <w:position w:val="6"/>
          <w:szCs w:val="21"/>
          <w:highlight w:val="none"/>
        </w:rPr>
      </w:pPr>
      <w:r>
        <w:rPr>
          <w:rFonts w:hint="eastAsia" w:ascii="宋体" w:hAnsi="宋体" w:cs="宋体"/>
          <w:color w:val="auto"/>
          <w:kern w:val="0"/>
          <w:position w:val="6"/>
          <w:szCs w:val="21"/>
          <w:highlight w:val="none"/>
        </w:rPr>
        <w:t>发包人、承包人根据《中华人民共和国建筑法》《建设工程质量管理条例》,参照《房屋建筑工程质量保修办法》，经协商一致，对______________________工程签订工程质量保修书。</w:t>
      </w:r>
    </w:p>
    <w:p>
      <w:pPr>
        <w:widowControl/>
        <w:adjustRightInd w:val="0"/>
        <w:snapToGrid w:val="0"/>
        <w:spacing w:line="360" w:lineRule="auto"/>
        <w:ind w:firstLine="422" w:firstLineChars="200"/>
        <w:jc w:val="left"/>
        <w:rPr>
          <w:rFonts w:hint="eastAsia" w:ascii="宋体" w:hAnsi="宋体" w:cs="宋体"/>
          <w:b/>
          <w:bCs/>
          <w:color w:val="auto"/>
          <w:kern w:val="0"/>
          <w:position w:val="6"/>
          <w:szCs w:val="21"/>
          <w:highlight w:val="none"/>
        </w:rPr>
      </w:pPr>
      <w:r>
        <w:rPr>
          <w:rFonts w:hint="eastAsia" w:ascii="宋体" w:hAnsi="宋体" w:cs="宋体"/>
          <w:b/>
          <w:bCs/>
          <w:color w:val="auto"/>
          <w:kern w:val="0"/>
          <w:position w:val="6"/>
          <w:szCs w:val="21"/>
          <w:highlight w:val="none"/>
        </w:rPr>
        <w:t>一、工程质量保修范围和内容</w:t>
      </w:r>
    </w:p>
    <w:p>
      <w:pPr>
        <w:adjustRightInd w:val="0"/>
        <w:snapToGrid w:val="0"/>
        <w:spacing w:line="360" w:lineRule="auto"/>
        <w:ind w:firstLine="420" w:firstLineChars="200"/>
        <w:jc w:val="left"/>
        <w:rPr>
          <w:rFonts w:hint="eastAsia" w:ascii="宋体" w:hAnsi="宋体" w:cs="宋体"/>
          <w:color w:val="auto"/>
          <w:position w:val="6"/>
          <w:szCs w:val="21"/>
          <w:highlight w:val="none"/>
        </w:rPr>
      </w:pPr>
      <w:r>
        <w:rPr>
          <w:rFonts w:hint="eastAsia" w:ascii="宋体" w:hAnsi="宋体" w:cs="宋体"/>
          <w:color w:val="auto"/>
          <w:position w:val="6"/>
          <w:szCs w:val="21"/>
          <w:highlight w:val="none"/>
        </w:rPr>
        <w:t>按照《建设工程质量管理条例》及有关法律、法规、规章的管理规定，双方约定由施工单位在质量保修期内，承担本工程的质量保修责任。</w:t>
      </w:r>
    </w:p>
    <w:p>
      <w:pPr>
        <w:adjustRightInd w:val="0"/>
        <w:snapToGrid w:val="0"/>
        <w:spacing w:line="360" w:lineRule="auto"/>
        <w:ind w:firstLine="420" w:firstLineChars="200"/>
        <w:jc w:val="left"/>
        <w:rPr>
          <w:rFonts w:hint="eastAsia" w:ascii="宋体" w:hAnsi="宋体" w:cs="宋体"/>
          <w:color w:val="auto"/>
          <w:position w:val="6"/>
          <w:szCs w:val="21"/>
          <w:highlight w:val="none"/>
        </w:rPr>
      </w:pPr>
      <w:r>
        <w:rPr>
          <w:rFonts w:hint="eastAsia" w:ascii="宋体" w:hAnsi="宋体" w:cs="宋体"/>
          <w:color w:val="auto"/>
          <w:position w:val="6"/>
          <w:szCs w:val="21"/>
          <w:highlight w:val="none"/>
        </w:rPr>
        <w:t>质量保修范围和内容：______________________。</w:t>
      </w:r>
      <w:r>
        <w:rPr>
          <w:rFonts w:hint="eastAsia" w:ascii="宋体" w:hAnsi="宋体" w:cs="宋体"/>
          <w:bCs/>
          <w:color w:val="auto"/>
          <w:kern w:val="0"/>
          <w:position w:val="6"/>
          <w:szCs w:val="21"/>
          <w:highlight w:val="none"/>
        </w:rPr>
        <w:t>因不可抗力或使用不当造成的质量缺陷，不属保修范围。</w:t>
      </w:r>
    </w:p>
    <w:p>
      <w:pPr>
        <w:widowControl/>
        <w:adjustRightInd w:val="0"/>
        <w:snapToGrid w:val="0"/>
        <w:spacing w:line="360" w:lineRule="auto"/>
        <w:ind w:firstLine="422" w:firstLineChars="200"/>
        <w:jc w:val="left"/>
        <w:rPr>
          <w:rFonts w:hint="eastAsia" w:ascii="宋体" w:hAnsi="宋体" w:cs="宋体"/>
          <w:b/>
          <w:bCs/>
          <w:color w:val="auto"/>
          <w:kern w:val="0"/>
          <w:position w:val="6"/>
          <w:szCs w:val="21"/>
          <w:highlight w:val="none"/>
        </w:rPr>
      </w:pPr>
      <w:r>
        <w:rPr>
          <w:rFonts w:hint="eastAsia" w:ascii="宋体" w:hAnsi="宋体" w:cs="宋体"/>
          <w:b/>
          <w:bCs/>
          <w:color w:val="auto"/>
          <w:kern w:val="0"/>
          <w:position w:val="6"/>
          <w:szCs w:val="21"/>
          <w:highlight w:val="none"/>
        </w:rPr>
        <w:t>二、质量保修期</w:t>
      </w:r>
    </w:p>
    <w:p>
      <w:pPr>
        <w:adjustRightInd w:val="0"/>
        <w:snapToGrid w:val="0"/>
        <w:spacing w:line="360" w:lineRule="auto"/>
        <w:ind w:firstLine="420" w:firstLineChars="200"/>
        <w:jc w:val="left"/>
        <w:rPr>
          <w:rFonts w:hint="eastAsia" w:ascii="宋体" w:hAnsi="宋体" w:cs="宋体"/>
          <w:color w:val="auto"/>
          <w:kern w:val="0"/>
          <w:position w:val="6"/>
          <w:szCs w:val="21"/>
          <w:highlight w:val="none"/>
        </w:rPr>
      </w:pPr>
      <w:r>
        <w:rPr>
          <w:rFonts w:hint="eastAsia" w:ascii="宋体" w:hAnsi="宋体" w:cs="宋体"/>
          <w:color w:val="auto"/>
          <w:kern w:val="0"/>
          <w:position w:val="6"/>
          <w:szCs w:val="21"/>
          <w:highlight w:val="none"/>
        </w:rPr>
        <w:t>双方根据</w:t>
      </w:r>
      <w:r>
        <w:rPr>
          <w:rFonts w:hint="eastAsia" w:ascii="宋体" w:hAnsi="宋体" w:cs="宋体"/>
          <w:color w:val="auto"/>
          <w:position w:val="6"/>
          <w:szCs w:val="21"/>
          <w:highlight w:val="none"/>
        </w:rPr>
        <w:t>《建设工程质量管理条例》</w:t>
      </w:r>
      <w:r>
        <w:rPr>
          <w:rFonts w:hint="eastAsia" w:ascii="宋体" w:hAnsi="宋体" w:cs="宋体"/>
          <w:color w:val="auto"/>
          <w:kern w:val="0"/>
          <w:position w:val="6"/>
          <w:szCs w:val="21"/>
          <w:highlight w:val="none"/>
        </w:rPr>
        <w:t>及有关规定，约定本工程的质量保修期如下：</w:t>
      </w:r>
    </w:p>
    <w:p>
      <w:pPr>
        <w:widowControl/>
        <w:adjustRightInd w:val="0"/>
        <w:snapToGrid w:val="0"/>
        <w:spacing w:line="360" w:lineRule="auto"/>
        <w:ind w:left="420" w:leftChars="200" w:firstLine="58" w:firstLineChars="28"/>
        <w:jc w:val="left"/>
        <w:rPr>
          <w:rFonts w:hint="eastAsia" w:ascii="宋体" w:hAnsi="宋体" w:cs="宋体"/>
          <w:color w:val="auto"/>
          <w:kern w:val="0"/>
          <w:position w:val="6"/>
          <w:szCs w:val="21"/>
          <w:highlight w:val="none"/>
        </w:rPr>
      </w:pPr>
      <w:r>
        <w:rPr>
          <w:rFonts w:hint="eastAsia" w:ascii="宋体" w:hAnsi="宋体" w:cs="宋体"/>
          <w:color w:val="auto"/>
          <w:kern w:val="0"/>
          <w:position w:val="6"/>
          <w:szCs w:val="21"/>
          <w:highlight w:val="none"/>
        </w:rPr>
        <w:t>1. 主体结构和基础工程，</w:t>
      </w:r>
      <w:r>
        <w:rPr>
          <w:rFonts w:hint="eastAsia" w:ascii="宋体" w:hAnsi="宋体" w:cs="宋体"/>
          <w:color w:val="auto"/>
          <w:kern w:val="0"/>
          <w:position w:val="6"/>
          <w:szCs w:val="21"/>
          <w:highlight w:val="none"/>
          <w:lang w:val="en-US" w:eastAsia="zh-CN"/>
        </w:rPr>
        <w:t>同设计年限</w:t>
      </w:r>
      <w:r>
        <w:rPr>
          <w:rFonts w:hint="eastAsia" w:ascii="宋体" w:hAnsi="宋体" w:cs="宋体"/>
          <w:color w:val="auto"/>
          <w:kern w:val="0"/>
          <w:position w:val="6"/>
          <w:szCs w:val="21"/>
          <w:highlight w:val="none"/>
        </w:rPr>
        <w:t>；</w:t>
      </w:r>
    </w:p>
    <w:p>
      <w:pPr>
        <w:widowControl/>
        <w:adjustRightInd w:val="0"/>
        <w:snapToGrid w:val="0"/>
        <w:spacing w:line="360" w:lineRule="auto"/>
        <w:ind w:left="420" w:leftChars="200" w:firstLine="58" w:firstLineChars="28"/>
        <w:jc w:val="left"/>
        <w:rPr>
          <w:rFonts w:hint="eastAsia" w:ascii="宋体" w:hAnsi="宋体" w:cs="宋体"/>
          <w:color w:val="auto"/>
          <w:kern w:val="0"/>
          <w:position w:val="6"/>
          <w:szCs w:val="21"/>
          <w:highlight w:val="none"/>
        </w:rPr>
      </w:pPr>
      <w:r>
        <w:rPr>
          <w:rFonts w:hint="eastAsia" w:ascii="宋体" w:hAnsi="宋体" w:cs="宋体"/>
          <w:color w:val="auto"/>
          <w:kern w:val="0"/>
          <w:position w:val="6"/>
          <w:szCs w:val="21"/>
          <w:highlight w:val="none"/>
        </w:rPr>
        <w:t>2. _</w:t>
      </w:r>
      <w:r>
        <w:rPr>
          <w:rFonts w:hint="eastAsia" w:ascii="宋体" w:hAnsi="宋体" w:cs="宋体"/>
          <w:color w:val="auto"/>
          <w:kern w:val="0"/>
          <w:position w:val="6"/>
          <w:szCs w:val="21"/>
          <w:highlight w:val="none"/>
          <w:lang w:eastAsia="zh-CN"/>
        </w:rPr>
        <w:t>（</w:t>
      </w:r>
      <w:r>
        <w:rPr>
          <w:rFonts w:hint="eastAsia" w:ascii="宋体" w:hAnsi="宋体" w:cs="宋体"/>
          <w:color w:val="auto"/>
          <w:kern w:val="0"/>
          <w:position w:val="6"/>
          <w:szCs w:val="21"/>
          <w:highlight w:val="none"/>
          <w:lang w:val="en-US" w:eastAsia="zh-CN"/>
        </w:rPr>
        <w:t>签订合同时约定</w:t>
      </w:r>
      <w:r>
        <w:rPr>
          <w:rFonts w:hint="eastAsia" w:ascii="宋体" w:hAnsi="宋体" w:cs="宋体"/>
          <w:color w:val="auto"/>
          <w:kern w:val="0"/>
          <w:position w:val="6"/>
          <w:szCs w:val="21"/>
          <w:highlight w:val="none"/>
          <w:lang w:eastAsia="zh-CN"/>
        </w:rPr>
        <w:t>）</w:t>
      </w:r>
      <w:r>
        <w:rPr>
          <w:rFonts w:hint="eastAsia" w:ascii="宋体" w:hAnsi="宋体" w:cs="宋体"/>
          <w:color w:val="auto"/>
          <w:kern w:val="0"/>
          <w:position w:val="6"/>
          <w:szCs w:val="21"/>
          <w:highlight w:val="none"/>
        </w:rPr>
        <w:t>_工程，为</w:t>
      </w:r>
      <w:r>
        <w:rPr>
          <w:rFonts w:hint="eastAsia" w:ascii="宋体" w:hAnsi="宋体" w:cs="宋体"/>
          <w:color w:val="auto"/>
          <w:kern w:val="0"/>
          <w:position w:val="6"/>
          <w:szCs w:val="21"/>
          <w:highlight w:val="none"/>
          <w:u w:val="single"/>
        </w:rPr>
        <w:t xml:space="preserve">     </w:t>
      </w:r>
      <w:r>
        <w:rPr>
          <w:rFonts w:hint="eastAsia" w:ascii="宋体" w:hAnsi="宋体" w:cs="宋体"/>
          <w:color w:val="auto"/>
          <w:kern w:val="0"/>
          <w:position w:val="6"/>
          <w:szCs w:val="21"/>
          <w:highlight w:val="none"/>
        </w:rPr>
        <w:t>年；</w:t>
      </w:r>
    </w:p>
    <w:p>
      <w:pPr>
        <w:widowControl/>
        <w:adjustRightInd w:val="0"/>
        <w:snapToGrid w:val="0"/>
        <w:spacing w:line="360" w:lineRule="auto"/>
        <w:ind w:left="420" w:leftChars="200" w:firstLine="58" w:firstLineChars="28"/>
        <w:jc w:val="left"/>
        <w:rPr>
          <w:rFonts w:hint="eastAsia" w:ascii="宋体" w:hAnsi="宋体" w:cs="宋体"/>
          <w:color w:val="auto"/>
          <w:kern w:val="0"/>
          <w:position w:val="6"/>
          <w:szCs w:val="21"/>
          <w:highlight w:val="none"/>
        </w:rPr>
      </w:pPr>
      <w:r>
        <w:rPr>
          <w:rFonts w:hint="eastAsia" w:ascii="宋体" w:hAnsi="宋体" w:cs="宋体"/>
          <w:color w:val="auto"/>
          <w:kern w:val="0"/>
          <w:position w:val="6"/>
          <w:szCs w:val="21"/>
          <w:highlight w:val="none"/>
        </w:rPr>
        <w:t>3. __</w:t>
      </w:r>
      <w:r>
        <w:rPr>
          <w:rFonts w:hint="eastAsia" w:ascii="宋体" w:hAnsi="宋体" w:cs="宋体"/>
          <w:color w:val="auto"/>
          <w:kern w:val="0"/>
          <w:position w:val="6"/>
          <w:szCs w:val="21"/>
          <w:highlight w:val="none"/>
          <w:lang w:eastAsia="zh-CN"/>
        </w:rPr>
        <w:t>（</w:t>
      </w:r>
      <w:r>
        <w:rPr>
          <w:rFonts w:hint="eastAsia" w:ascii="宋体" w:hAnsi="宋体" w:cs="宋体"/>
          <w:color w:val="auto"/>
          <w:kern w:val="0"/>
          <w:position w:val="6"/>
          <w:szCs w:val="21"/>
          <w:highlight w:val="none"/>
          <w:lang w:val="en-US" w:eastAsia="zh-CN"/>
        </w:rPr>
        <w:t>签订合同时约定</w:t>
      </w:r>
      <w:r>
        <w:rPr>
          <w:rFonts w:hint="eastAsia" w:ascii="宋体" w:hAnsi="宋体" w:cs="宋体"/>
          <w:color w:val="auto"/>
          <w:kern w:val="0"/>
          <w:position w:val="6"/>
          <w:szCs w:val="21"/>
          <w:highlight w:val="none"/>
          <w:lang w:eastAsia="zh-CN"/>
        </w:rPr>
        <w:t>）</w:t>
      </w:r>
      <w:r>
        <w:rPr>
          <w:rFonts w:hint="eastAsia" w:ascii="宋体" w:hAnsi="宋体" w:cs="宋体"/>
          <w:color w:val="auto"/>
          <w:kern w:val="0"/>
          <w:position w:val="6"/>
          <w:szCs w:val="21"/>
          <w:highlight w:val="none"/>
        </w:rPr>
        <w:t>工程，为</w:t>
      </w:r>
      <w:r>
        <w:rPr>
          <w:rFonts w:hint="eastAsia" w:ascii="宋体" w:hAnsi="宋体" w:cs="宋体"/>
          <w:color w:val="auto"/>
          <w:kern w:val="0"/>
          <w:position w:val="6"/>
          <w:szCs w:val="21"/>
          <w:highlight w:val="none"/>
          <w:u w:val="single"/>
        </w:rPr>
        <w:t xml:space="preserve">     </w:t>
      </w:r>
      <w:r>
        <w:rPr>
          <w:rFonts w:hint="eastAsia" w:ascii="宋体" w:hAnsi="宋体" w:cs="宋体"/>
          <w:color w:val="auto"/>
          <w:kern w:val="0"/>
          <w:position w:val="6"/>
          <w:szCs w:val="21"/>
          <w:highlight w:val="none"/>
        </w:rPr>
        <w:t>年；</w:t>
      </w:r>
    </w:p>
    <w:p>
      <w:pPr>
        <w:adjustRightInd w:val="0"/>
        <w:snapToGrid w:val="0"/>
        <w:spacing w:line="360" w:lineRule="auto"/>
        <w:ind w:left="359" w:leftChars="171" w:firstLine="105" w:firstLineChars="50"/>
        <w:rPr>
          <w:rFonts w:hint="eastAsia" w:ascii="宋体" w:hAnsi="宋体" w:cs="宋体"/>
          <w:color w:val="auto"/>
          <w:kern w:val="0"/>
          <w:position w:val="6"/>
          <w:szCs w:val="21"/>
          <w:highlight w:val="none"/>
        </w:rPr>
      </w:pPr>
      <w:r>
        <w:rPr>
          <w:rFonts w:hint="eastAsia" w:ascii="宋体" w:hAnsi="宋体" w:cs="宋体"/>
          <w:color w:val="auto"/>
          <w:kern w:val="0"/>
          <w:position w:val="6"/>
          <w:szCs w:val="21"/>
          <w:highlight w:val="none"/>
        </w:rPr>
        <w:t>4. _</w:t>
      </w:r>
      <w:r>
        <w:rPr>
          <w:rFonts w:hint="eastAsia" w:ascii="宋体" w:hAnsi="宋体" w:cs="宋体"/>
          <w:color w:val="auto"/>
          <w:kern w:val="0"/>
          <w:position w:val="6"/>
          <w:szCs w:val="21"/>
          <w:highlight w:val="none"/>
          <w:lang w:eastAsia="zh-CN"/>
        </w:rPr>
        <w:t>（</w:t>
      </w:r>
      <w:r>
        <w:rPr>
          <w:rFonts w:hint="eastAsia" w:ascii="宋体" w:hAnsi="宋体" w:cs="宋体"/>
          <w:color w:val="auto"/>
          <w:kern w:val="0"/>
          <w:position w:val="6"/>
          <w:szCs w:val="21"/>
          <w:highlight w:val="none"/>
          <w:lang w:val="en-US" w:eastAsia="zh-CN"/>
        </w:rPr>
        <w:t>签订合同时约定</w:t>
      </w:r>
      <w:r>
        <w:rPr>
          <w:rFonts w:hint="eastAsia" w:ascii="宋体" w:hAnsi="宋体" w:cs="宋体"/>
          <w:color w:val="auto"/>
          <w:kern w:val="0"/>
          <w:position w:val="6"/>
          <w:szCs w:val="21"/>
          <w:highlight w:val="none"/>
          <w:lang w:eastAsia="zh-CN"/>
        </w:rPr>
        <w:t>）</w:t>
      </w:r>
      <w:r>
        <w:rPr>
          <w:rFonts w:hint="eastAsia" w:ascii="宋体" w:hAnsi="宋体" w:cs="宋体"/>
          <w:color w:val="auto"/>
          <w:kern w:val="0"/>
          <w:position w:val="6"/>
          <w:szCs w:val="21"/>
          <w:highlight w:val="none"/>
        </w:rPr>
        <w:t xml:space="preserve">_工程，为 </w:t>
      </w:r>
      <w:r>
        <w:rPr>
          <w:rFonts w:hint="eastAsia" w:ascii="宋体" w:hAnsi="宋体" w:cs="宋体"/>
          <w:color w:val="auto"/>
          <w:kern w:val="0"/>
          <w:position w:val="6"/>
          <w:szCs w:val="21"/>
          <w:highlight w:val="none"/>
          <w:u w:val="single"/>
        </w:rPr>
        <w:t xml:space="preserve">     </w:t>
      </w:r>
      <w:r>
        <w:rPr>
          <w:rFonts w:hint="eastAsia" w:ascii="宋体" w:hAnsi="宋体" w:cs="宋体"/>
          <w:color w:val="auto"/>
          <w:kern w:val="0"/>
          <w:position w:val="6"/>
          <w:szCs w:val="21"/>
          <w:highlight w:val="none"/>
        </w:rPr>
        <w:t>年；</w:t>
      </w:r>
      <w:r>
        <w:rPr>
          <w:rFonts w:hint="eastAsia" w:ascii="宋体" w:hAnsi="宋体" w:cs="宋体"/>
          <w:color w:val="auto"/>
          <w:kern w:val="0"/>
          <w:position w:val="6"/>
          <w:szCs w:val="21"/>
          <w:highlight w:val="none"/>
        </w:rPr>
        <w:br w:type="textWrapping"/>
      </w:r>
      <w:r>
        <w:rPr>
          <w:rFonts w:hint="eastAsia" w:ascii="宋体" w:hAnsi="宋体" w:cs="宋体"/>
          <w:color w:val="auto"/>
          <w:kern w:val="0"/>
          <w:position w:val="6"/>
          <w:szCs w:val="21"/>
          <w:highlight w:val="none"/>
        </w:rPr>
        <w:t>质量保修期自工程竣工验收合格之日起计算。</w:t>
      </w:r>
    </w:p>
    <w:p>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三、缺陷责任期</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工程缺陷责任期为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12个月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，缺陷责任期自工程竣工验收合格之日起计算。单位工程先于全部工程进行验收，单位工程缺陷责任期自单位工程验收合格之日起算。</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缺陷责任期终止后，发包人应退还剩余的质量保证金。</w:t>
      </w:r>
    </w:p>
    <w:p>
      <w:pPr>
        <w:widowControl/>
        <w:adjustRightInd w:val="0"/>
        <w:snapToGrid w:val="0"/>
        <w:spacing w:line="360" w:lineRule="auto"/>
        <w:ind w:firstLine="422" w:firstLineChars="200"/>
        <w:jc w:val="left"/>
        <w:rPr>
          <w:rFonts w:hint="eastAsia" w:ascii="宋体" w:hAnsi="宋体" w:cs="宋体"/>
          <w:b/>
          <w:bCs/>
          <w:color w:val="auto"/>
          <w:kern w:val="0"/>
          <w:position w:val="6"/>
          <w:szCs w:val="21"/>
          <w:highlight w:val="none"/>
        </w:rPr>
      </w:pPr>
      <w:r>
        <w:rPr>
          <w:rFonts w:hint="eastAsia" w:ascii="宋体" w:hAnsi="宋体" w:cs="宋体"/>
          <w:b/>
          <w:color w:val="auto"/>
          <w:szCs w:val="21"/>
          <w:highlight w:val="none"/>
        </w:rPr>
        <w:t>四、质量保修责任</w:t>
      </w:r>
    </w:p>
    <w:p>
      <w:pPr>
        <w:widowControl/>
        <w:adjustRightInd w:val="0"/>
        <w:snapToGrid w:val="0"/>
        <w:spacing w:line="360" w:lineRule="auto"/>
        <w:ind w:firstLine="420" w:firstLineChars="200"/>
        <w:jc w:val="left"/>
        <w:rPr>
          <w:rFonts w:hint="eastAsia" w:ascii="宋体" w:hAnsi="宋体" w:cs="宋体"/>
          <w:color w:val="auto"/>
          <w:kern w:val="0"/>
          <w:position w:val="6"/>
          <w:szCs w:val="21"/>
          <w:highlight w:val="none"/>
        </w:rPr>
      </w:pPr>
      <w:r>
        <w:rPr>
          <w:rFonts w:hint="eastAsia" w:ascii="宋体" w:hAnsi="宋体" w:cs="宋体"/>
          <w:color w:val="auto"/>
          <w:kern w:val="0"/>
          <w:position w:val="6"/>
          <w:szCs w:val="21"/>
          <w:highlight w:val="none"/>
        </w:rPr>
        <w:t>1. 属于保修范围、内容的项目，承包人应当在接到保修通知之日起7天内派人保修。承包人不在约定期限内派人保修的，发包人可以委托他人修理。</w:t>
      </w:r>
    </w:p>
    <w:p>
      <w:pPr>
        <w:widowControl/>
        <w:adjustRightInd w:val="0"/>
        <w:snapToGrid w:val="0"/>
        <w:spacing w:line="360" w:lineRule="auto"/>
        <w:ind w:firstLine="420" w:firstLineChars="200"/>
        <w:jc w:val="left"/>
        <w:rPr>
          <w:rFonts w:hint="eastAsia" w:ascii="宋体" w:hAnsi="宋体" w:cs="宋体"/>
          <w:color w:val="auto"/>
          <w:kern w:val="0"/>
          <w:position w:val="6"/>
          <w:szCs w:val="21"/>
          <w:highlight w:val="none"/>
        </w:rPr>
      </w:pPr>
      <w:r>
        <w:rPr>
          <w:rFonts w:hint="eastAsia" w:ascii="宋体" w:hAnsi="宋体" w:cs="宋体"/>
          <w:color w:val="auto"/>
          <w:kern w:val="0"/>
          <w:position w:val="6"/>
          <w:szCs w:val="21"/>
          <w:highlight w:val="none"/>
        </w:rPr>
        <w:t>2. 发生紧急抢修事故的，承包人在接到事故通知后，应当立即到达事故现场抢修。</w:t>
      </w:r>
    </w:p>
    <w:p>
      <w:pPr>
        <w:widowControl/>
        <w:adjustRightInd w:val="0"/>
        <w:snapToGrid w:val="0"/>
        <w:spacing w:line="360" w:lineRule="auto"/>
        <w:ind w:firstLine="420" w:firstLineChars="200"/>
        <w:jc w:val="left"/>
        <w:rPr>
          <w:rFonts w:hint="eastAsia" w:ascii="宋体" w:hAnsi="宋体" w:cs="宋体"/>
          <w:color w:val="auto"/>
          <w:kern w:val="0"/>
          <w:position w:val="6"/>
          <w:szCs w:val="21"/>
          <w:highlight w:val="none"/>
        </w:rPr>
      </w:pPr>
      <w:r>
        <w:rPr>
          <w:rFonts w:hint="eastAsia" w:ascii="宋体" w:hAnsi="宋体" w:cs="宋体"/>
          <w:color w:val="auto"/>
          <w:kern w:val="0"/>
          <w:position w:val="6"/>
          <w:szCs w:val="21"/>
          <w:highlight w:val="none"/>
        </w:rPr>
        <w:t>3. 对于涉及结构安全的质量问题，应当立即向当地建设行政主管部门报告，采取安全防范措施；由原设计单位或者具有相应资质等级的设计单位提出保修方案，承包人实施保修。</w:t>
      </w:r>
    </w:p>
    <w:p>
      <w:pPr>
        <w:widowControl/>
        <w:adjustRightInd w:val="0"/>
        <w:snapToGrid w:val="0"/>
        <w:spacing w:line="360" w:lineRule="auto"/>
        <w:ind w:firstLine="420" w:firstLineChars="200"/>
        <w:jc w:val="left"/>
        <w:rPr>
          <w:rFonts w:hint="eastAsia" w:ascii="宋体" w:hAnsi="宋体" w:cs="宋体"/>
          <w:color w:val="auto"/>
          <w:kern w:val="0"/>
          <w:position w:val="6"/>
          <w:szCs w:val="21"/>
          <w:highlight w:val="none"/>
        </w:rPr>
      </w:pPr>
      <w:r>
        <w:rPr>
          <w:rFonts w:hint="eastAsia" w:ascii="宋体" w:hAnsi="宋体" w:cs="宋体"/>
          <w:color w:val="auto"/>
          <w:kern w:val="0"/>
          <w:position w:val="6"/>
          <w:szCs w:val="21"/>
          <w:highlight w:val="none"/>
        </w:rPr>
        <w:t>4. 质量保修完成后，由发包人组织验收。</w:t>
      </w:r>
    </w:p>
    <w:p>
      <w:pPr>
        <w:widowControl/>
        <w:adjustRightInd w:val="0"/>
        <w:snapToGrid w:val="0"/>
        <w:spacing w:line="360" w:lineRule="auto"/>
        <w:ind w:firstLine="422" w:firstLineChars="200"/>
        <w:jc w:val="left"/>
        <w:rPr>
          <w:rFonts w:hint="eastAsia" w:ascii="宋体" w:hAnsi="宋体" w:cs="宋体"/>
          <w:b/>
          <w:bCs/>
          <w:color w:val="auto"/>
          <w:kern w:val="0"/>
          <w:position w:val="6"/>
          <w:szCs w:val="21"/>
          <w:highlight w:val="none"/>
        </w:rPr>
      </w:pPr>
      <w:r>
        <w:rPr>
          <w:rFonts w:hint="eastAsia" w:ascii="宋体" w:hAnsi="宋体" w:cs="宋体"/>
          <w:b/>
          <w:bCs/>
          <w:color w:val="auto"/>
          <w:kern w:val="0"/>
          <w:position w:val="6"/>
          <w:szCs w:val="21"/>
          <w:highlight w:val="none"/>
        </w:rPr>
        <w:t>五、保修费用</w:t>
      </w:r>
    </w:p>
    <w:p>
      <w:pPr>
        <w:widowControl/>
        <w:adjustRightInd w:val="0"/>
        <w:snapToGrid w:val="0"/>
        <w:spacing w:line="360" w:lineRule="auto"/>
        <w:ind w:firstLine="420" w:firstLineChars="200"/>
        <w:jc w:val="left"/>
        <w:rPr>
          <w:rFonts w:hint="eastAsia" w:ascii="宋体" w:hAnsi="宋体" w:cs="宋体"/>
          <w:color w:val="auto"/>
          <w:kern w:val="0"/>
          <w:position w:val="6"/>
          <w:szCs w:val="21"/>
          <w:highlight w:val="none"/>
        </w:rPr>
      </w:pPr>
      <w:r>
        <w:rPr>
          <w:rFonts w:hint="eastAsia" w:ascii="宋体" w:hAnsi="宋体" w:cs="宋体"/>
          <w:color w:val="auto"/>
          <w:kern w:val="0"/>
          <w:position w:val="6"/>
          <w:szCs w:val="21"/>
          <w:highlight w:val="none"/>
        </w:rPr>
        <w:t>保修费用由造成质量缺陷的责任方承担。</w:t>
      </w:r>
    </w:p>
    <w:p>
      <w:pPr>
        <w:widowControl/>
        <w:adjustRightInd w:val="0"/>
        <w:snapToGrid w:val="0"/>
        <w:spacing w:line="360" w:lineRule="auto"/>
        <w:ind w:firstLine="422" w:firstLineChars="200"/>
        <w:jc w:val="left"/>
        <w:rPr>
          <w:rFonts w:hint="eastAsia" w:ascii="宋体" w:hAnsi="宋体" w:cs="宋体"/>
          <w:b/>
          <w:color w:val="auto"/>
          <w:szCs w:val="21"/>
          <w:highlight w:val="none"/>
        </w:rPr>
      </w:pPr>
      <w:r>
        <w:rPr>
          <w:rFonts w:hint="eastAsia" w:ascii="宋体" w:hAnsi="宋体" w:cs="宋体"/>
          <w:b/>
          <w:bCs/>
          <w:color w:val="auto"/>
          <w:kern w:val="0"/>
          <w:position w:val="6"/>
          <w:szCs w:val="21"/>
          <w:highlight w:val="none"/>
        </w:rPr>
        <w:t>六、双方约定的其他工程质量保修事项：</w:t>
      </w:r>
      <w:r>
        <w:rPr>
          <w:rFonts w:hint="eastAsia" w:ascii="宋体" w:hAnsi="宋体" w:cs="宋体"/>
          <w:b/>
          <w:color w:val="auto"/>
          <w:szCs w:val="21"/>
          <w:highlight w:val="none"/>
          <w:u w:val="single"/>
        </w:rPr>
        <w:t xml:space="preserve">             </w:t>
      </w:r>
      <w:r>
        <w:rPr>
          <w:rFonts w:hint="eastAsia" w:ascii="宋体" w:hAnsi="宋体" w:cs="宋体"/>
          <w:b/>
          <w:color w:val="auto"/>
          <w:szCs w:val="21"/>
          <w:highlight w:val="none"/>
        </w:rPr>
        <w:t>。</w:t>
      </w:r>
    </w:p>
    <w:p>
      <w:pPr>
        <w:widowControl/>
        <w:adjustRightInd w:val="0"/>
        <w:snapToGrid w:val="0"/>
        <w:spacing w:line="360" w:lineRule="auto"/>
        <w:ind w:firstLine="420" w:firstLineChars="200"/>
        <w:jc w:val="left"/>
        <w:rPr>
          <w:rFonts w:hint="eastAsia" w:ascii="宋体" w:hAnsi="宋体" w:cs="宋体"/>
          <w:bCs/>
          <w:color w:val="auto"/>
          <w:kern w:val="0"/>
          <w:szCs w:val="21"/>
          <w:highlight w:val="none"/>
        </w:rPr>
      </w:pPr>
      <w:r>
        <w:rPr>
          <w:rFonts w:hint="eastAsia" w:ascii="宋体" w:hAnsi="宋体" w:cs="宋体"/>
          <w:bCs/>
          <w:color w:val="auto"/>
          <w:kern w:val="0"/>
          <w:position w:val="6"/>
          <w:szCs w:val="21"/>
          <w:highlight w:val="none"/>
        </w:rPr>
        <w:t>本工程质量保修书，由施工合同发包人、承包人双方在竣工验收前共同签署，作为施工合同附件，其有效期限至保修期满。</w:t>
      </w:r>
    </w:p>
    <w:p>
      <w:pPr>
        <w:adjustRightInd w:val="0"/>
        <w:snapToGrid w:val="0"/>
        <w:spacing w:line="360" w:lineRule="auto"/>
        <w:ind w:firstLine="420"/>
        <w:rPr>
          <w:rFonts w:hint="eastAsia" w:ascii="宋体" w:hAnsi="宋体" w:cs="宋体"/>
          <w:color w:val="auto"/>
          <w:szCs w:val="21"/>
          <w:highlight w:val="none"/>
        </w:rPr>
      </w:pPr>
    </w:p>
    <w:p>
      <w:pPr>
        <w:adjustRightInd w:val="0"/>
        <w:snapToGrid w:val="0"/>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rPr>
        <w:t>发包人(公章)：</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承包人(公章)：</w:t>
      </w:r>
      <w:r>
        <w:rPr>
          <w:rFonts w:hint="eastAsia" w:ascii="宋体" w:hAnsi="宋体" w:cs="宋体"/>
          <w:color w:val="auto"/>
          <w:szCs w:val="21"/>
          <w:highlight w:val="none"/>
          <w:u w:val="single"/>
        </w:rPr>
        <w:t xml:space="preserve">           </w:t>
      </w:r>
    </w:p>
    <w:p>
      <w:pPr>
        <w:adjustRightInd w:val="0"/>
        <w:snapToGrid w:val="0"/>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地  址：</w:t>
      </w:r>
      <w:r>
        <w:rPr>
          <w:rFonts w:hint="eastAsia" w:ascii="宋体" w:hAnsi="宋体" w:cs="宋体"/>
          <w:color w:val="auto"/>
          <w:szCs w:val="21"/>
          <w:highlight w:val="none"/>
          <w:u w:val="single"/>
        </w:rPr>
        <w:t xml:space="preserve">                  </w:t>
      </w:r>
    </w:p>
    <w:p>
      <w:pPr>
        <w:adjustRightInd w:val="0"/>
        <w:snapToGrid w:val="0"/>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rPr>
        <w:t>法定代表人(签字)：</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法定代表人(签字)：</w:t>
      </w:r>
      <w:r>
        <w:rPr>
          <w:rFonts w:hint="eastAsia" w:ascii="宋体" w:hAnsi="宋体" w:cs="宋体"/>
          <w:color w:val="auto"/>
          <w:szCs w:val="21"/>
          <w:highlight w:val="none"/>
          <w:u w:val="single"/>
        </w:rPr>
        <w:t xml:space="preserve">           </w:t>
      </w:r>
    </w:p>
    <w:p>
      <w:pPr>
        <w:adjustRightInd w:val="0"/>
        <w:snapToGrid w:val="0"/>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rPr>
        <w:t>委托代理人(签字)：</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委托代理人(签字)：</w:t>
      </w:r>
      <w:r>
        <w:rPr>
          <w:rFonts w:hint="eastAsia" w:ascii="宋体" w:hAnsi="宋体" w:cs="宋体"/>
          <w:color w:val="auto"/>
          <w:szCs w:val="21"/>
          <w:highlight w:val="none"/>
          <w:u w:val="single"/>
        </w:rPr>
        <w:t xml:space="preserve">            </w:t>
      </w:r>
    </w:p>
    <w:p>
      <w:pPr>
        <w:adjustRightInd w:val="0"/>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rPr>
        <w:t xml:space="preserve">                     </w:t>
      </w:r>
    </w:p>
    <w:p>
      <w:pPr>
        <w:adjustRightInd w:val="0"/>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传  真：</w:t>
      </w:r>
      <w:r>
        <w:rPr>
          <w:rFonts w:hint="eastAsia" w:ascii="宋体" w:hAnsi="宋体" w:cs="宋体"/>
          <w:color w:val="auto"/>
          <w:szCs w:val="21"/>
          <w:highlight w:val="none"/>
          <w:u w:val="single"/>
        </w:rPr>
        <w:t xml:space="preserve">                   </w:t>
      </w:r>
    </w:p>
    <w:p>
      <w:pPr>
        <w:adjustRightInd w:val="0"/>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开户银行：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开户银行：</w:t>
      </w:r>
      <w:r>
        <w:rPr>
          <w:rFonts w:hint="eastAsia" w:ascii="宋体" w:hAnsi="宋体" w:cs="宋体"/>
          <w:color w:val="auto"/>
          <w:szCs w:val="21"/>
          <w:highlight w:val="none"/>
          <w:u w:val="single"/>
        </w:rPr>
        <w:t xml:space="preserve">                   </w:t>
      </w:r>
    </w:p>
    <w:p>
      <w:pPr>
        <w:adjustRightInd w:val="0"/>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账  号：</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账  号：</w:t>
      </w:r>
      <w:r>
        <w:rPr>
          <w:rFonts w:hint="eastAsia" w:ascii="宋体" w:hAnsi="宋体" w:cs="宋体"/>
          <w:color w:val="auto"/>
          <w:szCs w:val="21"/>
          <w:highlight w:val="none"/>
          <w:u w:val="single"/>
        </w:rPr>
        <w:t xml:space="preserve">                     </w:t>
      </w:r>
    </w:p>
    <w:p>
      <w:pPr>
        <w:rPr>
          <w:color w:val="auto"/>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 xml:space="preserve">                   </w:t>
      </w:r>
    </w:p>
    <w:p>
      <w:pPr>
        <w:rPr>
          <w:rFonts w:hint="eastAsia" w:ascii="宋体" w:hAnsi="宋体" w:cs="宋体"/>
          <w:bCs/>
          <w:color w:val="auto"/>
          <w:sz w:val="24"/>
          <w:highlight w:val="none"/>
        </w:rPr>
      </w:pPr>
      <w:r>
        <w:rPr>
          <w:rFonts w:hint="eastAsia" w:ascii="宋体" w:hAnsi="宋体" w:cs="宋体"/>
          <w:bCs/>
          <w:color w:val="auto"/>
          <w:sz w:val="24"/>
          <w:highlight w:val="none"/>
        </w:rPr>
        <w:br w:type="page"/>
      </w:r>
    </w:p>
    <w:p>
      <w:pPr>
        <w:keepNext/>
        <w:keepLines/>
        <w:spacing w:before="120" w:after="120" w:line="360" w:lineRule="auto"/>
        <w:jc w:val="left"/>
        <w:outlineLvl w:val="2"/>
        <w:rPr>
          <w:rFonts w:hint="eastAsia" w:ascii="宋体" w:hAnsi="宋体" w:cs="宋体"/>
          <w:bCs/>
          <w:color w:val="auto"/>
          <w:sz w:val="24"/>
          <w:highlight w:val="none"/>
        </w:rPr>
      </w:pPr>
      <w:r>
        <w:rPr>
          <w:rFonts w:hint="eastAsia" w:ascii="宋体" w:hAnsi="宋体" w:cs="宋体"/>
          <w:bCs/>
          <w:color w:val="auto"/>
          <w:sz w:val="24"/>
          <w:highlight w:val="none"/>
        </w:rPr>
        <w:t>附件</w:t>
      </w:r>
      <w:r>
        <w:rPr>
          <w:rFonts w:hint="eastAsia" w:ascii="宋体" w:hAnsi="宋体" w:cs="宋体"/>
          <w:bCs/>
          <w:color w:val="auto"/>
          <w:sz w:val="24"/>
          <w:highlight w:val="none"/>
          <w:lang w:val="en-US" w:eastAsia="zh-CN"/>
        </w:rPr>
        <w:t>3</w:t>
      </w:r>
      <w:r>
        <w:rPr>
          <w:rFonts w:hint="eastAsia" w:ascii="宋体" w:hAnsi="宋体" w:cs="宋体"/>
          <w:bCs/>
          <w:color w:val="auto"/>
          <w:sz w:val="24"/>
          <w:highlight w:val="none"/>
        </w:rPr>
        <w:t>：主要建设工程文件目录</w:t>
      </w:r>
      <w:bookmarkEnd w:id="918"/>
    </w:p>
    <w:p>
      <w:pPr>
        <w:spacing w:before="120" w:beforeLines="50" w:after="120" w:afterLines="50"/>
        <w:jc w:val="center"/>
        <w:rPr>
          <w:rFonts w:hint="eastAsia" w:ascii="宋体" w:hAnsi="宋体" w:cs="宋体"/>
          <w:color w:val="auto"/>
          <w:szCs w:val="21"/>
          <w:highlight w:val="none"/>
        </w:rPr>
      </w:pPr>
      <w:r>
        <w:rPr>
          <w:rFonts w:hint="eastAsia" w:ascii="宋体" w:hAnsi="宋体" w:cs="宋体"/>
          <w:color w:val="auto"/>
          <w:szCs w:val="21"/>
          <w:highlight w:val="none"/>
        </w:rPr>
        <w:t>主要建设工程文件目录</w:t>
      </w:r>
    </w:p>
    <w:tbl>
      <w:tblPr>
        <w:tblStyle w:val="46"/>
        <w:tblW w:w="903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953"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文件名称</w:t>
            </w:r>
          </w:p>
        </w:tc>
        <w:tc>
          <w:tcPr>
            <w:tcW w:w="1276"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套数</w:t>
            </w:r>
          </w:p>
        </w:tc>
        <w:tc>
          <w:tcPr>
            <w:tcW w:w="1450"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费用（元）</w:t>
            </w:r>
          </w:p>
        </w:tc>
        <w:tc>
          <w:tcPr>
            <w:tcW w:w="1243"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质量</w:t>
            </w:r>
          </w:p>
        </w:tc>
        <w:tc>
          <w:tcPr>
            <w:tcW w:w="1450" w:type="dxa"/>
            <w:tcBorders>
              <w:top w:val="single" w:color="auto" w:sz="12" w:space="0"/>
              <w:bottom w:val="double" w:color="auto" w:sz="6"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移交时间</w:t>
            </w:r>
          </w:p>
        </w:tc>
        <w:tc>
          <w:tcPr>
            <w:tcW w:w="1667" w:type="dxa"/>
            <w:tcBorders>
              <w:top w:val="single" w:color="auto" w:sz="12" w:space="0"/>
              <w:bottom w:val="double" w:color="auto" w:sz="6"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953"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276"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450"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243"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450"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667"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953"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276"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450"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243"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450"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667"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953"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276"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5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243"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5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667"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953"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276"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5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243"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5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667"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953"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276"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50"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243"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50"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667"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r>
    </w:tbl>
    <w:p>
      <w:pPr>
        <w:rPr>
          <w:rFonts w:hint="eastAsia" w:ascii="宋体" w:hAnsi="宋体" w:cs="宋体"/>
          <w:color w:val="auto"/>
          <w:szCs w:val="21"/>
          <w:highlight w:val="none"/>
        </w:rPr>
      </w:pPr>
    </w:p>
    <w:p>
      <w:pPr>
        <w:keepNext/>
        <w:keepLines/>
        <w:spacing w:before="120" w:after="120" w:line="360" w:lineRule="auto"/>
        <w:jc w:val="left"/>
        <w:outlineLvl w:val="2"/>
        <w:rPr>
          <w:rFonts w:hint="eastAsia" w:ascii="宋体" w:hAnsi="宋体" w:cs="宋体"/>
          <w:bCs/>
          <w:color w:val="auto"/>
          <w:sz w:val="24"/>
          <w:highlight w:val="none"/>
        </w:rPr>
      </w:pPr>
      <w:bookmarkStart w:id="926" w:name="_Toc95223491"/>
      <w:r>
        <w:rPr>
          <w:rFonts w:hint="eastAsia" w:ascii="宋体" w:hAnsi="宋体" w:cs="宋体"/>
          <w:bCs/>
          <w:color w:val="auto"/>
          <w:sz w:val="24"/>
          <w:highlight w:val="none"/>
        </w:rPr>
        <w:t>附</w:t>
      </w:r>
      <w:bookmarkStart w:id="927" w:name="_Toc296891267"/>
      <w:bookmarkStart w:id="928" w:name="_Toc296347226"/>
      <w:bookmarkStart w:id="929" w:name="_Toc267261698"/>
      <w:bookmarkStart w:id="930" w:name="_Toc296891055"/>
      <w:bookmarkStart w:id="931" w:name="_Toc296944566"/>
      <w:bookmarkStart w:id="932" w:name="_Toc296346728"/>
      <w:bookmarkStart w:id="933" w:name="_Toc296503227"/>
      <w:r>
        <w:rPr>
          <w:rFonts w:hint="eastAsia" w:ascii="宋体" w:hAnsi="宋体" w:cs="宋体"/>
          <w:bCs/>
          <w:color w:val="auto"/>
          <w:sz w:val="24"/>
          <w:highlight w:val="none"/>
        </w:rPr>
        <w:t>件</w:t>
      </w:r>
      <w:r>
        <w:rPr>
          <w:rFonts w:hint="eastAsia" w:ascii="宋体" w:hAnsi="宋体" w:cs="宋体"/>
          <w:bCs/>
          <w:color w:val="auto"/>
          <w:sz w:val="24"/>
          <w:highlight w:val="none"/>
          <w:lang w:val="en-US" w:eastAsia="zh-CN"/>
        </w:rPr>
        <w:t>4</w:t>
      </w:r>
      <w:r>
        <w:rPr>
          <w:rFonts w:hint="eastAsia" w:ascii="宋体" w:hAnsi="宋体" w:cs="宋体"/>
          <w:bCs/>
          <w:color w:val="auto"/>
          <w:sz w:val="24"/>
          <w:highlight w:val="none"/>
        </w:rPr>
        <w:t>：承包人用于本工程施工的机械设备表</w:t>
      </w:r>
      <w:bookmarkEnd w:id="926"/>
    </w:p>
    <w:bookmarkEnd w:id="927"/>
    <w:bookmarkEnd w:id="928"/>
    <w:bookmarkEnd w:id="929"/>
    <w:bookmarkEnd w:id="930"/>
    <w:bookmarkEnd w:id="931"/>
    <w:bookmarkEnd w:id="932"/>
    <w:bookmarkEnd w:id="933"/>
    <w:p>
      <w:pPr>
        <w:spacing w:before="120" w:beforeLines="50" w:after="120" w:afterLines="50"/>
        <w:jc w:val="center"/>
        <w:rPr>
          <w:rFonts w:hint="eastAsia" w:ascii="宋体" w:hAnsi="宋体" w:cs="宋体"/>
          <w:color w:val="auto"/>
          <w:szCs w:val="21"/>
          <w:highlight w:val="none"/>
        </w:rPr>
      </w:pPr>
      <w:r>
        <w:rPr>
          <w:rFonts w:hint="eastAsia" w:ascii="宋体" w:hAnsi="宋体" w:cs="宋体"/>
          <w:color w:val="auto"/>
          <w:szCs w:val="21"/>
          <w:highlight w:val="none"/>
        </w:rPr>
        <w:t>承包人用于本工程施工的机械设备表</w:t>
      </w:r>
    </w:p>
    <w:tbl>
      <w:tblPr>
        <w:tblStyle w:val="46"/>
        <w:tblW w:w="895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37"/>
        <w:gridCol w:w="1418"/>
        <w:gridCol w:w="850"/>
        <w:gridCol w:w="709"/>
        <w:gridCol w:w="850"/>
        <w:gridCol w:w="963"/>
        <w:gridCol w:w="1480"/>
        <w:gridCol w:w="1020"/>
        <w:gridCol w:w="93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737"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418"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机械或设备名称</w:t>
            </w:r>
          </w:p>
        </w:tc>
        <w:tc>
          <w:tcPr>
            <w:tcW w:w="850"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规格型号</w:t>
            </w:r>
          </w:p>
        </w:tc>
        <w:tc>
          <w:tcPr>
            <w:tcW w:w="709"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850"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产地</w:t>
            </w:r>
          </w:p>
        </w:tc>
        <w:tc>
          <w:tcPr>
            <w:tcW w:w="963"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制造年份</w:t>
            </w:r>
          </w:p>
        </w:tc>
        <w:tc>
          <w:tcPr>
            <w:tcW w:w="1480"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额定功率(kW)</w:t>
            </w:r>
          </w:p>
        </w:tc>
        <w:tc>
          <w:tcPr>
            <w:tcW w:w="1020"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生产能力</w:t>
            </w:r>
          </w:p>
        </w:tc>
        <w:tc>
          <w:tcPr>
            <w:tcW w:w="932"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737"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418"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850"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709"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850"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963"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480"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020"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932" w:type="dxa"/>
            <w:tcBorders>
              <w:top w:val="double" w:color="auto" w:sz="6" w:space="0"/>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737"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418"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850"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709"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850"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963"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480"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1020"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c>
          <w:tcPr>
            <w:tcW w:w="932" w:type="dxa"/>
            <w:tcBorders>
              <w:top w:val="nil"/>
            </w:tcBorders>
            <w:noWrap w:val="0"/>
            <w:vAlign w:val="center"/>
          </w:tcPr>
          <w:p>
            <w:pPr>
              <w:keepNext/>
              <w:keepLines w:val="0"/>
              <w:suppressLineNumbers w:val="0"/>
              <w:spacing w:before="0" w:beforeAutospacing="0" w:after="0" w:afterAutospacing="0"/>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737"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18"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85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709"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85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963"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8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02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932"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737"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18"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85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709"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85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963"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8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020"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932" w:type="dxa"/>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737"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18"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850"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709"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850"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963"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480"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1020"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c>
          <w:tcPr>
            <w:tcW w:w="932" w:type="dxa"/>
            <w:tcBorders>
              <w:bottom w:val="single" w:color="auto" w:sz="12" w:space="0"/>
            </w:tcBorders>
            <w:noWrap w:val="0"/>
            <w:vAlign w:val="top"/>
          </w:tcPr>
          <w:p>
            <w:pPr>
              <w:keepNext w:val="0"/>
              <w:keepLines w:val="0"/>
              <w:suppressLineNumbers w:val="0"/>
              <w:spacing w:before="0" w:beforeAutospacing="0" w:after="0" w:afterAutospacing="0"/>
              <w:ind w:left="0" w:right="0"/>
              <w:rPr>
                <w:rFonts w:hint="eastAsia" w:ascii="宋体" w:hAnsi="宋体" w:cs="宋体"/>
                <w:color w:val="auto"/>
                <w:szCs w:val="21"/>
                <w:highlight w:val="none"/>
              </w:rPr>
            </w:pPr>
          </w:p>
        </w:tc>
      </w:tr>
    </w:tbl>
    <w:p>
      <w:pPr>
        <w:rPr>
          <w:rFonts w:hint="eastAsia" w:ascii="宋体" w:hAnsi="宋体" w:cs="宋体"/>
          <w:color w:val="auto"/>
          <w:szCs w:val="21"/>
          <w:highlight w:val="none"/>
        </w:rPr>
      </w:pPr>
    </w:p>
    <w:p>
      <w:pPr>
        <w:widowControl/>
        <w:spacing w:line="360" w:lineRule="auto"/>
        <w:jc w:val="center"/>
        <w:rPr>
          <w:rFonts w:hint="eastAsia" w:ascii="宋体" w:hAnsi="宋体" w:cs="宋体"/>
          <w:color w:val="auto"/>
          <w:sz w:val="24"/>
          <w:highlight w:val="none"/>
        </w:rPr>
      </w:pPr>
      <w:r>
        <w:rPr>
          <w:rFonts w:hint="eastAsia" w:ascii="宋体" w:hAnsi="宋体" w:cs="宋体"/>
          <w:color w:val="auto"/>
          <w:szCs w:val="21"/>
          <w:highlight w:val="none"/>
        </w:rPr>
        <w:br w:type="page"/>
      </w:r>
    </w:p>
    <w:p>
      <w:pPr>
        <w:keepNext/>
        <w:keepLines/>
        <w:spacing w:before="120" w:after="120" w:line="360" w:lineRule="auto"/>
        <w:jc w:val="left"/>
        <w:outlineLvl w:val="2"/>
        <w:rPr>
          <w:rFonts w:hint="eastAsia" w:ascii="宋体" w:hAnsi="宋体" w:cs="宋体"/>
          <w:bCs/>
          <w:color w:val="auto"/>
          <w:sz w:val="24"/>
          <w:highlight w:val="none"/>
        </w:rPr>
      </w:pPr>
      <w:bookmarkStart w:id="934" w:name="_Toc95223492"/>
      <w:r>
        <w:rPr>
          <w:rFonts w:hint="eastAsia" w:ascii="宋体" w:hAnsi="宋体" w:cs="宋体"/>
          <w:bCs/>
          <w:color w:val="auto"/>
          <w:sz w:val="24"/>
          <w:highlight w:val="none"/>
        </w:rPr>
        <w:t>附</w:t>
      </w:r>
      <w:bookmarkStart w:id="935" w:name="_Toc296503228"/>
      <w:bookmarkStart w:id="936" w:name="_Toc296347227"/>
      <w:bookmarkStart w:id="937" w:name="_Toc296944567"/>
      <w:bookmarkStart w:id="938" w:name="_Toc296346729"/>
      <w:bookmarkStart w:id="939" w:name="_Toc296891056"/>
      <w:bookmarkStart w:id="940" w:name="_Toc296891268"/>
      <w:bookmarkStart w:id="941" w:name="_Toc267261699"/>
      <w:r>
        <w:rPr>
          <w:rFonts w:hint="eastAsia" w:ascii="宋体" w:hAnsi="宋体" w:cs="宋体"/>
          <w:bCs/>
          <w:color w:val="auto"/>
          <w:sz w:val="24"/>
          <w:highlight w:val="none"/>
        </w:rPr>
        <w:t>件</w:t>
      </w:r>
      <w:bookmarkEnd w:id="935"/>
      <w:bookmarkEnd w:id="936"/>
      <w:bookmarkEnd w:id="937"/>
      <w:bookmarkEnd w:id="938"/>
      <w:bookmarkEnd w:id="939"/>
      <w:bookmarkEnd w:id="940"/>
      <w:bookmarkEnd w:id="941"/>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：承包人主要施工管理人员表</w:t>
      </w:r>
      <w:bookmarkEnd w:id="934"/>
    </w:p>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承包人主要施工管理人员表</w:t>
      </w:r>
    </w:p>
    <w:tbl>
      <w:tblPr>
        <w:tblStyle w:val="46"/>
        <w:tblW w:w="92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729"/>
        <w:gridCol w:w="1156"/>
        <w:gridCol w:w="926"/>
        <w:gridCol w:w="926"/>
        <w:gridCol w:w="2358"/>
        <w:gridCol w:w="21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名    称</w:t>
            </w:r>
          </w:p>
        </w:tc>
        <w:tc>
          <w:tcPr>
            <w:tcW w:w="1156"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926"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职务</w:t>
            </w:r>
          </w:p>
        </w:tc>
        <w:tc>
          <w:tcPr>
            <w:tcW w:w="926"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职称</w:t>
            </w:r>
          </w:p>
        </w:tc>
        <w:tc>
          <w:tcPr>
            <w:tcW w:w="2358" w:type="dxa"/>
            <w:tcBorders>
              <w:top w:val="single" w:color="auto" w:sz="12" w:space="0"/>
              <w:bottom w:val="double" w:color="auto" w:sz="6" w:space="0"/>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主要资历、经验及承担过的项目</w:t>
            </w:r>
          </w:p>
        </w:tc>
        <w:tc>
          <w:tcPr>
            <w:tcW w:w="2124"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身份证号码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095" w:type="dxa"/>
            <w:gridSpan w:val="5"/>
            <w:tcBorders>
              <w:top w:val="double" w:color="auto" w:sz="6" w:space="0"/>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一、总部人员</w:t>
            </w:r>
          </w:p>
        </w:tc>
        <w:tc>
          <w:tcPr>
            <w:tcW w:w="2124" w:type="dxa"/>
            <w:tcBorders>
              <w:top w:val="double" w:color="auto" w:sz="6" w:space="0"/>
            </w:tcBorders>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tcBorders>
              <w:top w:val="nil"/>
              <w:bottom w:val="nil"/>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项目主管</w:t>
            </w:r>
          </w:p>
        </w:tc>
        <w:tc>
          <w:tcPr>
            <w:tcW w:w="1156" w:type="dxa"/>
            <w:tcBorders>
              <w:top w:val="nil"/>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tcBorders>
              <w:top w:val="nil"/>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tcBorders>
              <w:top w:val="nil"/>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tcBorders>
              <w:top w:val="nil"/>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tcBorders>
              <w:top w:val="nil"/>
            </w:tcBorders>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tcBorders>
              <w:bottom w:val="nil"/>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tcBorders>
              <w:top w:val="nil"/>
              <w:bottom w:val="nil"/>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其他人员</w:t>
            </w: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tcBorders>
              <w:top w:val="nil"/>
              <w:bottom w:val="nil"/>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095" w:type="dxa"/>
            <w:gridSpan w:val="5"/>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二、现场人员</w:t>
            </w: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项目副经理</w:t>
            </w: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项目技术负责人</w:t>
            </w: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施工员</w:t>
            </w: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质检员（质量员）</w:t>
            </w: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安全员</w:t>
            </w: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资料员</w:t>
            </w: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restar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其他人员</w:t>
            </w: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continue"/>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1156" w:type="dxa"/>
            <w:tcBorders>
              <w:bottom w:val="nil"/>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tcBorders>
              <w:bottom w:val="nil"/>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tcBorders>
              <w:bottom w:val="nil"/>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tcBorders>
              <w:bottom w:val="nil"/>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tcBorders>
              <w:bottom w:val="nil"/>
            </w:tcBorders>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continue"/>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continue"/>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continue"/>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115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continue"/>
            <w:tcBorders>
              <w:bottom w:val="single" w:color="auto" w:sz="12" w:space="0"/>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1156" w:type="dxa"/>
            <w:tcBorders>
              <w:bottom w:val="single" w:color="auto" w:sz="12" w:space="0"/>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tcBorders>
              <w:bottom w:val="single" w:color="auto" w:sz="12" w:space="0"/>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926" w:type="dxa"/>
            <w:tcBorders>
              <w:bottom w:val="single" w:color="auto" w:sz="12" w:space="0"/>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358" w:type="dxa"/>
            <w:tcBorders>
              <w:bottom w:val="single" w:color="auto" w:sz="12" w:space="0"/>
            </w:tcBorders>
            <w:noWrap w:val="0"/>
            <w:vAlign w:val="center"/>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c>
          <w:tcPr>
            <w:tcW w:w="2124" w:type="dxa"/>
            <w:tcBorders>
              <w:bottom w:val="single" w:color="auto" w:sz="12" w:space="0"/>
            </w:tcBorders>
            <w:noWrap w:val="0"/>
            <w:vAlign w:val="top"/>
          </w:tcPr>
          <w:p>
            <w:pPr>
              <w:keepNext/>
              <w:keepLines w:val="0"/>
              <w:suppressLineNumbers w:val="0"/>
              <w:spacing w:before="0" w:beforeAutospacing="0" w:after="0" w:afterAutospacing="0" w:line="360" w:lineRule="auto"/>
              <w:ind w:left="0" w:right="0"/>
              <w:jc w:val="center"/>
              <w:rPr>
                <w:rFonts w:hint="eastAsia" w:ascii="宋体" w:hAnsi="宋体" w:cs="宋体"/>
                <w:color w:val="auto"/>
                <w:szCs w:val="21"/>
                <w:highlight w:val="none"/>
              </w:rPr>
            </w:pPr>
          </w:p>
        </w:tc>
      </w:tr>
    </w:tbl>
    <w:p>
      <w:pPr>
        <w:pStyle w:val="43"/>
        <w:spacing w:beforeLines="50" w:afterLines="50" w:line="440" w:lineRule="exact"/>
        <w:rPr>
          <w:rFonts w:hint="eastAsia"/>
          <w:bCs/>
          <w:color w:val="auto"/>
          <w:szCs w:val="32"/>
          <w:highlight w:val="none"/>
        </w:rPr>
      </w:pPr>
    </w:p>
    <w:p>
      <w:pPr>
        <w:rPr>
          <w:rFonts w:hint="eastAsia" w:ascii="宋体" w:hAnsi="宋体" w:cs="宋体"/>
          <w:bCs/>
          <w:color w:val="auto"/>
          <w:sz w:val="24"/>
          <w:highlight w:val="none"/>
        </w:rPr>
      </w:pPr>
      <w:bookmarkStart w:id="942" w:name="_Toc7655"/>
      <w:bookmarkStart w:id="943" w:name="_Toc95223495"/>
      <w:bookmarkStart w:id="944" w:name="_Toc25726"/>
      <w:r>
        <w:rPr>
          <w:rFonts w:hint="eastAsia" w:ascii="宋体" w:hAnsi="宋体" w:cs="宋体"/>
          <w:bCs/>
          <w:color w:val="auto"/>
          <w:sz w:val="24"/>
          <w:highlight w:val="none"/>
        </w:rPr>
        <w:br w:type="page"/>
      </w:r>
    </w:p>
    <w:p>
      <w:pPr>
        <w:keepNext/>
        <w:keepLines/>
        <w:spacing w:before="120" w:after="120" w:line="360" w:lineRule="auto"/>
        <w:jc w:val="left"/>
        <w:outlineLvl w:val="0"/>
        <w:rPr>
          <w:rFonts w:hint="eastAsia" w:ascii="宋体" w:hAnsi="宋体" w:cs="宋体"/>
          <w:bCs/>
          <w:color w:val="auto"/>
          <w:sz w:val="24"/>
          <w:highlight w:val="none"/>
        </w:rPr>
      </w:pPr>
      <w:bookmarkStart w:id="945" w:name="_Toc3028"/>
      <w:bookmarkStart w:id="946" w:name="_Toc9955"/>
      <w:r>
        <w:rPr>
          <w:rFonts w:hint="eastAsia" w:ascii="宋体" w:hAnsi="宋体" w:cs="宋体"/>
          <w:bCs/>
          <w:color w:val="auto"/>
          <w:sz w:val="24"/>
          <w:highlight w:val="none"/>
        </w:rPr>
        <w:t>附</w:t>
      </w:r>
      <w:bookmarkStart w:id="947" w:name="_Toc296347230"/>
      <w:bookmarkStart w:id="948" w:name="_Toc296346732"/>
      <w:bookmarkStart w:id="949" w:name="_Toc296944570"/>
      <w:bookmarkStart w:id="950" w:name="_Toc296891059"/>
      <w:bookmarkStart w:id="951" w:name="_Toc296503231"/>
      <w:bookmarkStart w:id="952" w:name="_Toc296891271"/>
      <w:r>
        <w:rPr>
          <w:rFonts w:hint="eastAsia" w:ascii="宋体" w:hAnsi="宋体" w:cs="宋体"/>
          <w:bCs/>
          <w:color w:val="auto"/>
          <w:sz w:val="24"/>
          <w:highlight w:val="none"/>
        </w:rPr>
        <w:t>件</w:t>
      </w:r>
      <w:r>
        <w:rPr>
          <w:rFonts w:hint="eastAsia" w:ascii="宋体" w:hAnsi="宋体" w:cs="宋体"/>
          <w:bCs/>
          <w:color w:val="auto"/>
          <w:sz w:val="24"/>
          <w:highlight w:val="none"/>
          <w:lang w:val="en-US" w:eastAsia="zh-CN"/>
        </w:rPr>
        <w:t>6</w:t>
      </w:r>
      <w:r>
        <w:rPr>
          <w:rFonts w:hint="eastAsia" w:ascii="宋体" w:hAnsi="宋体" w:cs="宋体"/>
          <w:bCs/>
          <w:color w:val="auto"/>
          <w:sz w:val="24"/>
          <w:highlight w:val="none"/>
        </w:rPr>
        <w:t>：廉政协议</w:t>
      </w:r>
      <w:bookmarkEnd w:id="942"/>
      <w:bookmarkEnd w:id="943"/>
      <w:bookmarkEnd w:id="944"/>
      <w:bookmarkEnd w:id="945"/>
      <w:bookmarkEnd w:id="946"/>
    </w:p>
    <w:bookmarkEnd w:id="947"/>
    <w:bookmarkEnd w:id="948"/>
    <w:bookmarkEnd w:id="949"/>
    <w:bookmarkEnd w:id="950"/>
    <w:bookmarkEnd w:id="951"/>
    <w:bookmarkEnd w:id="952"/>
    <w:p>
      <w:pPr>
        <w:widowControl/>
        <w:spacing w:line="360" w:lineRule="auto"/>
        <w:ind w:firstLine="643"/>
        <w:jc w:val="center"/>
        <w:outlineLvl w:val="0"/>
        <w:rPr>
          <w:rFonts w:hint="eastAsia" w:ascii="宋体" w:hAnsi="宋体" w:cs="宋体"/>
          <w:b/>
          <w:bCs/>
          <w:color w:val="auto"/>
          <w:kern w:val="0"/>
          <w:sz w:val="32"/>
          <w:szCs w:val="32"/>
          <w:highlight w:val="none"/>
        </w:rPr>
      </w:pPr>
      <w:bookmarkStart w:id="953" w:name="_Toc9808"/>
      <w:bookmarkStart w:id="954" w:name="_Toc7607"/>
      <w:bookmarkStart w:id="955" w:name="_Toc26094"/>
      <w:bookmarkStart w:id="956" w:name="_Toc95223496"/>
      <w:bookmarkStart w:id="957" w:name="_Toc26092"/>
      <w:r>
        <w:rPr>
          <w:rFonts w:hint="eastAsia" w:ascii="宋体" w:hAnsi="宋体" w:cs="宋体"/>
          <w:b/>
          <w:bCs/>
          <w:color w:val="auto"/>
          <w:kern w:val="0"/>
          <w:sz w:val="32"/>
          <w:szCs w:val="32"/>
          <w:highlight w:val="none"/>
        </w:rPr>
        <w:t>廉 政 协 议</w:t>
      </w:r>
      <w:bookmarkEnd w:id="953"/>
      <w:bookmarkEnd w:id="954"/>
      <w:bookmarkEnd w:id="955"/>
      <w:bookmarkEnd w:id="956"/>
      <w:bookmarkEnd w:id="957"/>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为促进双方诚信经营、廉洁从业，防范商业贿赂，保护国家、集体和当事人的合法权益，根据国家有关法律法规和安徽省、项目所在地廉政建设的规定，</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(以下称甲方)与</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(以下称乙方)，特此订立本协议共同遵照执行。</w:t>
      </w:r>
    </w:p>
    <w:p>
      <w:pPr>
        <w:widowControl/>
        <w:spacing w:line="360" w:lineRule="auto"/>
        <w:ind w:firstLine="420" w:firstLineChars="200"/>
        <w:jc w:val="left"/>
        <w:outlineLvl w:val="0"/>
        <w:rPr>
          <w:rFonts w:hint="eastAsia" w:ascii="宋体" w:hAnsi="宋体" w:cs="宋体"/>
          <w:color w:val="auto"/>
          <w:kern w:val="0"/>
          <w:szCs w:val="21"/>
          <w:highlight w:val="none"/>
        </w:rPr>
      </w:pPr>
      <w:bookmarkStart w:id="958" w:name="_Toc23614"/>
      <w:bookmarkStart w:id="959" w:name="_Toc10794"/>
      <w:bookmarkStart w:id="960" w:name="_Toc21306"/>
      <w:bookmarkStart w:id="961" w:name="_Toc9888"/>
      <w:bookmarkStart w:id="962" w:name="_Toc95223497"/>
      <w:r>
        <w:rPr>
          <w:rFonts w:hint="eastAsia" w:ascii="宋体" w:hAnsi="宋体" w:cs="宋体"/>
          <w:color w:val="auto"/>
          <w:kern w:val="0"/>
          <w:szCs w:val="21"/>
          <w:highlight w:val="none"/>
        </w:rPr>
        <w:t>第一条 甲乙双方的权利和义务</w:t>
      </w:r>
      <w:bookmarkEnd w:id="958"/>
      <w:bookmarkEnd w:id="959"/>
      <w:bookmarkEnd w:id="960"/>
      <w:bookmarkEnd w:id="961"/>
      <w:bookmarkEnd w:id="962"/>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（二）严格执行</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的合同要求，自觉履行合同约定的相关义务。</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（三）在业务活动中坚持公开、公正、诚信、透明的原则，不得损害国家、集体利益。</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（四）建立健全廉政制度，开展廉政教育，公布举报电话，监督并认真查处违法违纪行为。</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（五）发现对方在业务活动中有违反廉政规定的行为，应及时提醒对方纠正。情节严重的，应向其上级有关部门举报、建议给予处理，并有权要求告知处理结果。</w:t>
      </w:r>
    </w:p>
    <w:p>
      <w:pPr>
        <w:widowControl/>
        <w:spacing w:line="360" w:lineRule="auto"/>
        <w:ind w:firstLine="420" w:firstLineChars="200"/>
        <w:jc w:val="left"/>
        <w:outlineLvl w:val="0"/>
        <w:rPr>
          <w:rFonts w:hint="eastAsia" w:ascii="宋体" w:hAnsi="宋体" w:cs="宋体"/>
          <w:color w:val="auto"/>
          <w:kern w:val="0"/>
          <w:szCs w:val="21"/>
          <w:highlight w:val="none"/>
        </w:rPr>
      </w:pPr>
      <w:bookmarkStart w:id="963" w:name="_Toc27534"/>
      <w:bookmarkStart w:id="964" w:name="_Toc1917"/>
      <w:bookmarkStart w:id="965" w:name="_Toc20007"/>
      <w:bookmarkStart w:id="966" w:name="_Toc3866"/>
      <w:bookmarkStart w:id="967" w:name="_Toc95223498"/>
      <w:r>
        <w:rPr>
          <w:rFonts w:hint="eastAsia" w:ascii="宋体" w:hAnsi="宋体" w:cs="宋体"/>
          <w:color w:val="auto"/>
          <w:kern w:val="0"/>
          <w:szCs w:val="21"/>
          <w:highlight w:val="none"/>
        </w:rPr>
        <w:t>第二条 甲方的义务</w:t>
      </w:r>
      <w:bookmarkEnd w:id="963"/>
      <w:bookmarkEnd w:id="964"/>
      <w:bookmarkEnd w:id="965"/>
      <w:bookmarkEnd w:id="966"/>
      <w:bookmarkEnd w:id="967"/>
    </w:p>
    <w:p>
      <w:pPr>
        <w:widowControl/>
        <w:spacing w:line="360" w:lineRule="auto"/>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(一)甲方及其工作人员不得索要或接受乙方的礼金、有价证券和贵重物品，不得在乙方报销任何应由甲方单位或个人支付的费用等。</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（三） 甲方及其工作人员不得要求或者接受乙方为其住房装修、婚丧嫁娶活动、配偶子女工作安排以及出国出境、旅游等提供方便等。</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（四） 甲方工作人员不得在乙方有股权关联的企业兼职，不得向乙方介绍家属或者亲友从事与甲方业务有关的经济活动。</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（五）甲方工作人员不得以明显低于市场的价格向乙方购买房屋、汽车等物品；不得以明显高于市场的价格向乙方出售房屋、汽车等物品；不得以其他交易形式非法收受请托人财物。</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（六）甲方工作人员不得利用职务之便收受乙方以回扣、手续费、加班费、咨询费、劳务费、协调费、辛苦费等各种名义给予或赠送的钱物。</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（七）甲方工作人员不得接受乙方给予或赠送的干股或红利。</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（八）甲方任何人不得以个人的名义向乙方推荐设备、部件等供货商以及其他合作单位。</w:t>
      </w:r>
    </w:p>
    <w:p>
      <w:pPr>
        <w:widowControl/>
        <w:spacing w:line="360" w:lineRule="auto"/>
        <w:ind w:firstLine="420" w:firstLineChars="200"/>
        <w:jc w:val="left"/>
        <w:outlineLvl w:val="0"/>
        <w:rPr>
          <w:rFonts w:hint="eastAsia" w:ascii="宋体" w:hAnsi="宋体" w:cs="宋体"/>
          <w:color w:val="auto"/>
          <w:kern w:val="0"/>
          <w:szCs w:val="21"/>
          <w:highlight w:val="none"/>
        </w:rPr>
      </w:pPr>
      <w:bookmarkStart w:id="968" w:name="_Toc20831"/>
      <w:bookmarkStart w:id="969" w:name="_Toc27727"/>
      <w:bookmarkStart w:id="970" w:name="_Toc10556"/>
      <w:bookmarkStart w:id="971" w:name="_Toc95223499"/>
      <w:bookmarkStart w:id="972" w:name="_Toc11255"/>
      <w:r>
        <w:rPr>
          <w:rFonts w:hint="eastAsia" w:ascii="宋体" w:hAnsi="宋体" w:cs="宋体"/>
          <w:color w:val="auto"/>
          <w:kern w:val="0"/>
          <w:szCs w:val="21"/>
          <w:highlight w:val="none"/>
        </w:rPr>
        <w:t>第三条 乙方的义务</w:t>
      </w:r>
      <w:bookmarkEnd w:id="968"/>
      <w:bookmarkEnd w:id="969"/>
      <w:bookmarkEnd w:id="970"/>
      <w:bookmarkEnd w:id="971"/>
      <w:bookmarkEnd w:id="972"/>
    </w:p>
    <w:p>
      <w:pPr>
        <w:widowControl/>
        <w:spacing w:line="360" w:lineRule="auto"/>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(一)乙方不得以任何理由向甲方及其工作人员行贿或馈赠礼金、有价证券、贵重礼品。</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（二)乙方不得以任何名义为甲方及其工作人员报销应由甲方单位或个人支付的任何费用。</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(三)乙方不得以任何理由安排甲方工作人员参加可能影响相关业务公开、公正、公平性的宴请及娱乐活动。</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（四）乙方不得为甲方单位和个人购置或提供通讯工具和高档办公用品等物品，也不得为甲方提供与工作无关的房屋、汽车等。</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（五）乙方不得与甲方工作人员就合同中的质量、数量、价格、工程量、验收等条款进行私下商谈或者达成默契。</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（六）乙方不得以回扣、手续费、加班费、咨询费、劳务费、协调费、辛苦费等各种名义向甲方工作人员给予或赠送钱物。</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（七）乙方不得向甲方工作人员提供干股或红利。</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（八）乙方须按</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专项纪检监察工作组(如有)要求开展相关工作。</w:t>
      </w:r>
    </w:p>
    <w:p>
      <w:pPr>
        <w:widowControl/>
        <w:spacing w:line="360" w:lineRule="auto"/>
        <w:ind w:firstLine="420" w:firstLineChars="200"/>
        <w:jc w:val="left"/>
        <w:outlineLvl w:val="0"/>
        <w:rPr>
          <w:rFonts w:hint="eastAsia" w:ascii="宋体" w:hAnsi="宋体" w:cs="宋体"/>
          <w:color w:val="auto"/>
          <w:kern w:val="0"/>
          <w:szCs w:val="21"/>
          <w:highlight w:val="none"/>
        </w:rPr>
      </w:pPr>
      <w:bookmarkStart w:id="973" w:name="_Toc2198"/>
      <w:bookmarkStart w:id="974" w:name="_Toc14507"/>
      <w:bookmarkStart w:id="975" w:name="_Toc4145"/>
      <w:bookmarkStart w:id="976" w:name="_Toc95223500"/>
      <w:bookmarkStart w:id="977" w:name="_Toc7904"/>
      <w:r>
        <w:rPr>
          <w:rFonts w:hint="eastAsia" w:ascii="宋体" w:hAnsi="宋体" w:cs="宋体"/>
          <w:color w:val="auto"/>
          <w:kern w:val="0"/>
          <w:szCs w:val="21"/>
          <w:highlight w:val="none"/>
        </w:rPr>
        <w:t>第四条 违约责任</w:t>
      </w:r>
      <w:bookmarkEnd w:id="973"/>
      <w:bookmarkEnd w:id="974"/>
      <w:bookmarkEnd w:id="975"/>
      <w:bookmarkEnd w:id="976"/>
      <w:bookmarkEnd w:id="977"/>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一）甲方及其工作人员违反本协议第一、二条规定。甲方按管理权限，对相关责任人依据有关规定给予党纪、政纪处分或组织处理；涉嫌犯罪的，移交司法机关追究刑事责任；给乙方单位造成经济损失的，应予以赔偿。</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甲方投诉联系部门：</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，联系电话：</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（二）乙方及其工作人员违反本协议第一、三条规定。根据具体情节和造成的后果，甲方有权对乙方采取以下一种或多种处理办法：</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1. 全额收取乙方合同履约保证金不予退还； </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 追究乙方其他违约责任；</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 终止或解除双方已签订的包括本合同在内的所有合同；</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 乙方一定期限内（6个月至3年，具体由甲方根据情况而定）不得参与甲方作为发包人（业主）的工程项目投标。</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甲方作出的处理意见，乙方应无条件接受并承担给甲方造成的损失，全额返还通过不正当手段从甲方获取的非法所得，并承担相应的法律责任。</w:t>
      </w:r>
    </w:p>
    <w:p>
      <w:pPr>
        <w:widowControl/>
        <w:spacing w:line="360" w:lineRule="auto"/>
        <w:ind w:firstLine="420" w:firstLineChars="200"/>
        <w:jc w:val="left"/>
        <w:outlineLvl w:val="0"/>
        <w:rPr>
          <w:rFonts w:hint="eastAsia" w:ascii="宋体" w:hAnsi="宋体" w:cs="宋体"/>
          <w:color w:val="auto"/>
          <w:kern w:val="0"/>
          <w:szCs w:val="21"/>
          <w:highlight w:val="none"/>
        </w:rPr>
      </w:pPr>
      <w:bookmarkStart w:id="978" w:name="_Toc95223501"/>
      <w:bookmarkStart w:id="979" w:name="_Toc10228"/>
      <w:bookmarkStart w:id="980" w:name="_Toc2334"/>
      <w:bookmarkStart w:id="981" w:name="_Toc6544"/>
      <w:bookmarkStart w:id="982" w:name="_Toc26114"/>
      <w:r>
        <w:rPr>
          <w:rFonts w:hint="eastAsia" w:ascii="宋体" w:hAnsi="宋体" w:cs="宋体"/>
          <w:color w:val="auto"/>
          <w:kern w:val="0"/>
          <w:szCs w:val="21"/>
          <w:highlight w:val="none"/>
        </w:rPr>
        <w:t>第五条 双方约定</w:t>
      </w:r>
      <w:bookmarkEnd w:id="978"/>
      <w:bookmarkEnd w:id="979"/>
      <w:bookmarkEnd w:id="980"/>
      <w:bookmarkEnd w:id="981"/>
      <w:bookmarkEnd w:id="982"/>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本协议由双方或双方上级单位负责监督。可由甲方或甲方上级单位的纪检监察部门约请乙方或乙方上级单位的纪检监察部门对本协议履行情况进行检查，提出在本协议规定范围内的裁定意见。</w:t>
      </w:r>
    </w:p>
    <w:p>
      <w:pPr>
        <w:widowControl/>
        <w:spacing w:line="360" w:lineRule="auto"/>
        <w:ind w:firstLine="420" w:firstLineChars="200"/>
        <w:jc w:val="left"/>
        <w:outlineLvl w:val="0"/>
        <w:rPr>
          <w:rFonts w:hint="eastAsia" w:ascii="宋体" w:hAnsi="宋体" w:cs="宋体"/>
          <w:color w:val="auto"/>
          <w:kern w:val="0"/>
          <w:szCs w:val="21"/>
          <w:highlight w:val="none"/>
        </w:rPr>
      </w:pPr>
      <w:bookmarkStart w:id="983" w:name="_Toc8779"/>
      <w:bookmarkStart w:id="984" w:name="_Toc17717"/>
      <w:bookmarkStart w:id="985" w:name="_Toc10240"/>
      <w:bookmarkStart w:id="986" w:name="_Toc95223502"/>
      <w:bookmarkStart w:id="987" w:name="_Toc32140"/>
      <w:r>
        <w:rPr>
          <w:rFonts w:hint="eastAsia" w:ascii="宋体" w:hAnsi="宋体" w:cs="宋体"/>
          <w:color w:val="auto"/>
          <w:kern w:val="0"/>
          <w:szCs w:val="21"/>
          <w:highlight w:val="none"/>
        </w:rPr>
        <w:t>第六条  本协议有效期为甲乙双方签署之日起至合同终止。</w:t>
      </w:r>
      <w:bookmarkEnd w:id="983"/>
      <w:bookmarkEnd w:id="984"/>
      <w:bookmarkEnd w:id="985"/>
      <w:bookmarkEnd w:id="986"/>
      <w:bookmarkEnd w:id="987"/>
      <w:r>
        <w:rPr>
          <w:rFonts w:hint="eastAsia" w:ascii="宋体" w:hAnsi="宋体" w:cs="宋体"/>
          <w:color w:val="auto"/>
          <w:kern w:val="0"/>
          <w:szCs w:val="21"/>
          <w:highlight w:val="none"/>
        </w:rPr>
        <w:t xml:space="preserve">  </w:t>
      </w:r>
    </w:p>
    <w:p>
      <w:pPr>
        <w:widowControl/>
        <w:spacing w:line="360" w:lineRule="auto"/>
        <w:ind w:firstLine="420" w:firstLineChars="200"/>
        <w:jc w:val="left"/>
        <w:outlineLvl w:val="0"/>
        <w:rPr>
          <w:rFonts w:hint="eastAsia" w:ascii="宋体" w:hAnsi="宋体" w:cs="宋体"/>
          <w:color w:val="auto"/>
          <w:kern w:val="0"/>
          <w:szCs w:val="21"/>
          <w:highlight w:val="none"/>
        </w:rPr>
      </w:pPr>
      <w:bookmarkStart w:id="988" w:name="_Toc1871"/>
      <w:bookmarkStart w:id="989" w:name="_Toc22264"/>
      <w:bookmarkStart w:id="990" w:name="_Toc24032"/>
      <w:bookmarkStart w:id="991" w:name="_Toc28117"/>
      <w:bookmarkStart w:id="992" w:name="_Toc95223503"/>
      <w:r>
        <w:rPr>
          <w:rFonts w:hint="eastAsia" w:ascii="宋体" w:hAnsi="宋体" w:cs="宋体"/>
          <w:color w:val="auto"/>
          <w:kern w:val="0"/>
          <w:szCs w:val="21"/>
          <w:highlight w:val="none"/>
        </w:rPr>
        <w:t>第七条  本协议作为合同的附件，与本合同具有同等法律效力。</w:t>
      </w:r>
      <w:bookmarkEnd w:id="988"/>
      <w:bookmarkEnd w:id="989"/>
      <w:bookmarkEnd w:id="990"/>
      <w:bookmarkEnd w:id="991"/>
      <w:bookmarkEnd w:id="992"/>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甲方（盖章）：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乙方（盖章）：</w:t>
      </w:r>
      <w:r>
        <w:rPr>
          <w:rFonts w:hint="eastAsia" w:ascii="宋体" w:hAnsi="宋体" w:cs="宋体"/>
          <w:color w:val="auto"/>
          <w:kern w:val="0"/>
          <w:szCs w:val="21"/>
          <w:highlight w:val="none"/>
          <w:u w:val="single"/>
        </w:rPr>
        <w:t xml:space="preserve">                      </w:t>
      </w:r>
    </w:p>
    <w:p>
      <w:pPr>
        <w:widowControl/>
        <w:spacing w:line="360" w:lineRule="auto"/>
        <w:ind w:firstLine="420" w:firstLineChars="200"/>
        <w:jc w:val="left"/>
        <w:rPr>
          <w:rFonts w:hint="eastAsia" w:ascii="宋体" w:hAnsi="宋体" w:cs="宋体"/>
          <w:color w:val="auto"/>
          <w:kern w:val="0"/>
          <w:szCs w:val="21"/>
          <w:highlight w:val="none"/>
        </w:rPr>
      </w:pP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法定代表人或                                法定代表人或</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授权代表：</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              授权代表：</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姓名：</w:t>
      </w:r>
      <w:r>
        <w:rPr>
          <w:rFonts w:hint="eastAsia" w:ascii="宋体" w:hAnsi="宋体" w:cs="宋体"/>
          <w:color w:val="auto"/>
          <w:kern w:val="0"/>
          <w:szCs w:val="21"/>
          <w:highlight w:val="none"/>
          <w:u w:val="single"/>
        </w:rPr>
        <w:t xml:space="preserve">             </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签字：</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签字：</w:t>
      </w:r>
      <w:r>
        <w:rPr>
          <w:rFonts w:hint="eastAsia" w:ascii="宋体" w:hAnsi="宋体" w:cs="宋体"/>
          <w:color w:val="auto"/>
          <w:kern w:val="0"/>
          <w:szCs w:val="21"/>
          <w:highlight w:val="none"/>
          <w:u w:val="single"/>
        </w:rPr>
        <w:t xml:space="preserve">             </w:t>
      </w:r>
    </w:p>
    <w:p>
      <w:pPr>
        <w:widowControl/>
        <w:spacing w:line="360" w:lineRule="auto"/>
        <w:ind w:firstLine="420" w:firstLineChars="200"/>
        <w:jc w:val="left"/>
        <w:rPr>
          <w:rFonts w:hint="eastAsia" w:ascii="宋体" w:hAnsi="宋体" w:cs="宋体"/>
          <w:color w:val="auto"/>
          <w:kern w:val="0"/>
          <w:szCs w:val="21"/>
          <w:highlight w:val="none"/>
        </w:rPr>
      </w:pP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廉政监督联系人                              廉政监督联系人</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姓名：</w:t>
      </w:r>
      <w:r>
        <w:rPr>
          <w:rFonts w:hint="eastAsia" w:ascii="宋体" w:hAnsi="宋体" w:cs="宋体"/>
          <w:color w:val="auto"/>
          <w:kern w:val="0"/>
          <w:szCs w:val="21"/>
          <w:highlight w:val="none"/>
          <w:u w:val="single"/>
        </w:rPr>
        <w:t xml:space="preserve">                       </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签字：</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签字：</w:t>
      </w:r>
      <w:r>
        <w:rPr>
          <w:rFonts w:hint="eastAsia" w:ascii="宋体" w:hAnsi="宋体" w:cs="宋体"/>
          <w:color w:val="auto"/>
          <w:kern w:val="0"/>
          <w:szCs w:val="21"/>
          <w:highlight w:val="none"/>
          <w:u w:val="single"/>
        </w:rPr>
        <w:t xml:space="preserve">                       </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电话：</w:t>
      </w:r>
      <w:r>
        <w:rPr>
          <w:rFonts w:hint="eastAsia" w:ascii="宋体" w:hAnsi="宋体" w:cs="宋体"/>
          <w:color w:val="auto"/>
          <w:kern w:val="0"/>
          <w:szCs w:val="21"/>
          <w:highlight w:val="none"/>
          <w:u w:val="single"/>
        </w:rPr>
        <w:t xml:space="preserve">                       </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地址：</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地址：</w:t>
      </w:r>
      <w:r>
        <w:rPr>
          <w:rFonts w:hint="eastAsia" w:ascii="宋体" w:hAnsi="宋体" w:cs="宋体"/>
          <w:color w:val="auto"/>
          <w:kern w:val="0"/>
          <w:szCs w:val="21"/>
          <w:highlight w:val="none"/>
          <w:u w:val="single"/>
        </w:rPr>
        <w:t xml:space="preserve">                       </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日期：</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日期：</w:t>
      </w:r>
      <w:r>
        <w:rPr>
          <w:rFonts w:hint="eastAsia" w:ascii="宋体" w:hAnsi="宋体" w:cs="宋体"/>
          <w:color w:val="auto"/>
          <w:kern w:val="0"/>
          <w:szCs w:val="21"/>
          <w:highlight w:val="none"/>
          <w:u w:val="single"/>
        </w:rPr>
        <w:t xml:space="preserve">                       </w:t>
      </w:r>
    </w:p>
    <w:p>
      <w:pPr>
        <w:keepNext/>
        <w:keepLines/>
        <w:spacing w:before="120" w:after="120" w:line="360" w:lineRule="auto"/>
        <w:jc w:val="left"/>
        <w:outlineLvl w:val="2"/>
        <w:rPr>
          <w:rFonts w:hint="eastAsia" w:ascii="宋体" w:hAnsi="宋体" w:cs="宋体"/>
          <w:color w:val="auto"/>
          <w:szCs w:val="21"/>
          <w:highlight w:val="none"/>
        </w:rPr>
      </w:pPr>
      <w:r>
        <w:rPr>
          <w:rFonts w:hint="eastAsia" w:ascii="宋体" w:hAnsi="宋体" w:cs="宋体"/>
          <w:bCs/>
          <w:color w:val="auto"/>
          <w:kern w:val="0"/>
          <w:sz w:val="24"/>
          <w:szCs w:val="21"/>
          <w:highlight w:val="none"/>
        </w:rPr>
        <w:br w:type="page"/>
      </w:r>
      <w:bookmarkStart w:id="993" w:name="_Toc95223504"/>
      <w:r>
        <w:rPr>
          <w:rFonts w:hint="eastAsia" w:ascii="宋体" w:hAnsi="宋体" w:cs="宋体"/>
          <w:bCs/>
          <w:color w:val="auto"/>
          <w:sz w:val="24"/>
          <w:highlight w:val="none"/>
        </w:rPr>
        <w:t>附件</w:t>
      </w:r>
      <w:r>
        <w:rPr>
          <w:rFonts w:hint="eastAsia" w:ascii="宋体" w:hAnsi="宋体" w:cs="宋体"/>
          <w:bCs/>
          <w:color w:val="auto"/>
          <w:sz w:val="24"/>
          <w:highlight w:val="none"/>
          <w:lang w:val="en-US" w:eastAsia="zh-CN"/>
        </w:rPr>
        <w:t>7</w:t>
      </w:r>
      <w:r>
        <w:rPr>
          <w:rFonts w:hint="eastAsia" w:ascii="宋体" w:hAnsi="宋体" w:cs="宋体"/>
          <w:bCs/>
          <w:color w:val="auto"/>
          <w:sz w:val="24"/>
          <w:highlight w:val="none"/>
        </w:rPr>
        <w:t>：履约保证金</w:t>
      </w:r>
      <w:bookmarkEnd w:id="993"/>
    </w:p>
    <w:p>
      <w:pPr>
        <w:adjustRightInd w:val="0"/>
        <w:snapToGrid w:val="0"/>
        <w:spacing w:line="360" w:lineRule="auto"/>
        <w:jc w:val="center"/>
        <w:outlineLvl w:val="0"/>
        <w:rPr>
          <w:rFonts w:hint="eastAsia" w:ascii="宋体" w:hAnsi="宋体" w:cs="宋体"/>
          <w:b/>
          <w:bCs/>
          <w:color w:val="auto"/>
          <w:sz w:val="32"/>
          <w:szCs w:val="32"/>
          <w:highlight w:val="none"/>
        </w:rPr>
      </w:pPr>
      <w:bookmarkStart w:id="994" w:name="_Toc10681"/>
      <w:bookmarkStart w:id="995" w:name="_Toc95223505"/>
      <w:bookmarkStart w:id="996" w:name="_Toc25855"/>
      <w:bookmarkStart w:id="997" w:name="_Toc28010"/>
      <w:bookmarkStart w:id="998" w:name="_Toc8655"/>
      <w:r>
        <w:rPr>
          <w:rFonts w:hint="eastAsia" w:ascii="宋体" w:hAnsi="宋体" w:cs="宋体"/>
          <w:b/>
          <w:bCs/>
          <w:color w:val="auto"/>
          <w:sz w:val="32"/>
          <w:szCs w:val="32"/>
          <w:highlight w:val="none"/>
        </w:rPr>
        <w:t>履约保函示范文本</w:t>
      </w:r>
      <w:bookmarkEnd w:id="994"/>
      <w:bookmarkEnd w:id="995"/>
      <w:bookmarkEnd w:id="996"/>
      <w:bookmarkEnd w:id="997"/>
      <w:bookmarkEnd w:id="998"/>
    </w:p>
    <w:p>
      <w:pPr>
        <w:wordWrap w:val="0"/>
        <w:adjustRightInd w:val="0"/>
        <w:snapToGrid w:val="0"/>
        <w:spacing w:line="360" w:lineRule="auto"/>
        <w:jc w:val="right"/>
        <w:rPr>
          <w:rFonts w:hint="eastAsia" w:ascii="宋体" w:hAnsi="宋体" w:cs="宋体"/>
          <w:color w:val="auto"/>
          <w:szCs w:val="21"/>
          <w:highlight w:val="none"/>
        </w:rPr>
      </w:pPr>
      <w:r>
        <w:rPr>
          <w:rFonts w:hint="eastAsia" w:ascii="宋体" w:hAnsi="宋体" w:cs="宋体"/>
          <w:color w:val="auto"/>
          <w:szCs w:val="21"/>
          <w:highlight w:val="none"/>
        </w:rPr>
        <w:t xml:space="preserve">编号：           </w:t>
      </w:r>
    </w:p>
    <w:p>
      <w:pPr>
        <w:adjustRightInd w:val="0"/>
        <w:snapToGrid w:val="0"/>
        <w:spacing w:line="360" w:lineRule="auto"/>
        <w:rPr>
          <w:rFonts w:hint="eastAsia" w:ascii="宋体" w:hAnsi="宋体" w:cs="宋体"/>
          <w:color w:val="auto"/>
          <w:szCs w:val="21"/>
          <w:highlight w:val="none"/>
        </w:rPr>
      </w:pPr>
    </w:p>
    <w:p>
      <w:pPr>
        <w:adjustRightInd w:val="0"/>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（受益人名称）： </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日就</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（标段编号）的</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（标段名称）</w:t>
      </w:r>
      <w:r>
        <w:rPr>
          <w:rFonts w:hint="eastAsia" w:ascii="宋体" w:hAnsi="宋体" w:cs="宋体"/>
          <w:color w:val="auto"/>
          <w:szCs w:val="21"/>
          <w:highlight w:val="none"/>
        </w:rPr>
        <w:t>有关事项协商一致共同签订</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以下简称“基础合同”），开立人根据基础合同了解到申请人为基础合同项下之承包人，受益人为基础合同项下之发包人，基于申请人的请求，开立人同意就申请人履行与受益人签订的基础合同项下的义务，向受益人提供不可撤销、不可转让的见索即付独立保函（以下简称“本保函”）。 </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一、本保函担保范围：承包人未按照基础合同的约定履行义务，应当向受益人承担的违约责任和赔偿因此造成的损失、利息、律师费、诉讼费用等实现债权的费用。</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三、本保函有效期自开立之日起至基础合同约定的缺陷责任期满之日止。 </w:t>
      </w:r>
    </w:p>
    <w:p>
      <w:pPr>
        <w:adjustRightInd w:val="0"/>
        <w:snapToGrid w:val="0"/>
        <w:spacing w:line="360" w:lineRule="auto"/>
        <w:ind w:firstLine="480"/>
        <w:rPr>
          <w:rFonts w:hint="eastAsia" w:ascii="宋体" w:hAnsi="宋体" w:cs="宋体"/>
          <w:color w:val="auto"/>
          <w:szCs w:val="21"/>
          <w:highlight w:val="none"/>
        </w:rPr>
      </w:pPr>
      <w:bookmarkStart w:id="999" w:name="_Hlk40302764"/>
      <w:r>
        <w:rPr>
          <w:rFonts w:hint="eastAsia" w:ascii="宋体" w:hAnsi="宋体" w:cs="宋体"/>
          <w:color w:val="auto"/>
          <w:szCs w:val="21"/>
          <w:highlight w:val="none"/>
        </w:rPr>
        <w:t>四、开立人承诺，在收到受益人发来的书面付款通知后的七日内无条件支付，前述书面付款通知即为付款要求之单据，且应满足以下要求：</w:t>
      </w:r>
    </w:p>
    <w:bookmarkEnd w:id="999"/>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（1）付款通知到达的日期在本保函的有效期内；</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（5）付款通知应在本保函有效期内到达的地址是：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adjustRightInd w:val="0"/>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 xml:space="preserve">    </w:t>
      </w:r>
      <w:bookmarkStart w:id="1000" w:name="_Hlk40303486"/>
      <w:r>
        <w:rPr>
          <w:rFonts w:hint="eastAsia" w:ascii="宋体" w:hAnsi="宋体" w:cs="宋体"/>
          <w:color w:val="auto"/>
          <w:szCs w:val="21"/>
          <w:highlight w:val="none"/>
        </w:rPr>
        <w:t>受益人发出的书面付款通知应由其法定代表人（负责人）或授权代理人签字并加盖公章。</w:t>
      </w:r>
      <w:bookmarkEnd w:id="1000"/>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五、本保函项下的权利不得转让，不得设定担保。受益人未经我方书面同意转 让本保函或其项下任何权利，对我方不发生法律效力。 </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六、与本保函有关的基础合同不成立、不生效、无效、被撤销、被解除，不影响本保函的独立有效。 </w:t>
      </w:r>
    </w:p>
    <w:p>
      <w:pPr>
        <w:adjustRightInd w:val="0"/>
        <w:snapToGrid w:val="0"/>
        <w:spacing w:line="360" w:lineRule="auto"/>
        <w:ind w:firstLine="420" w:firstLineChars="200"/>
        <w:rPr>
          <w:rFonts w:hint="eastAsia" w:ascii="宋体" w:hAnsi="宋体" w:cs="宋体"/>
          <w:color w:val="auto"/>
          <w:szCs w:val="21"/>
          <w:highlight w:val="none"/>
        </w:rPr>
      </w:pPr>
      <w:bookmarkStart w:id="1001" w:name="_Hlk40303383"/>
      <w:bookmarkStart w:id="1002" w:name="_Hlk40354981"/>
      <w:r>
        <w:rPr>
          <w:rFonts w:hint="eastAsia" w:ascii="宋体" w:hAnsi="宋体" w:cs="宋体"/>
          <w:color w:val="auto"/>
          <w:szCs w:val="21"/>
          <w:highlight w:val="none"/>
        </w:rPr>
        <w:t xml:space="preserve">七、本保函项下的义务和责任均在保函有效期到期后自动消灭。 </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八、本保函适用的法律为中华人民共和国法律，因本保函产生的纠纷案件，</w:t>
      </w:r>
      <w:bookmarkEnd w:id="1001"/>
      <w:r>
        <w:rPr>
          <w:rFonts w:hint="eastAsia" w:ascii="宋体" w:hAnsi="宋体" w:cs="宋体"/>
          <w:color w:val="auto"/>
          <w:szCs w:val="21"/>
          <w:highlight w:val="none"/>
        </w:rPr>
        <w:t xml:space="preserve">由受益人所在地人民法院管辖。 </w:t>
      </w:r>
    </w:p>
    <w:bookmarkEnd w:id="1002"/>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九、本保函自我方法定代表人或授权代表签字并加盖公章之日起生效。 </w:t>
      </w:r>
    </w:p>
    <w:p>
      <w:pPr>
        <w:adjustRightInd w:val="0"/>
        <w:snapToGrid w:val="0"/>
        <w:spacing w:line="360" w:lineRule="auto"/>
        <w:ind w:firstLine="420" w:firstLineChars="200"/>
        <w:rPr>
          <w:rFonts w:hint="eastAsia" w:ascii="宋体" w:hAnsi="宋体" w:cs="宋体"/>
          <w:color w:val="auto"/>
          <w:szCs w:val="21"/>
          <w:highlight w:val="none"/>
        </w:rPr>
      </w:pPr>
    </w:p>
    <w:p>
      <w:pPr>
        <w:adjustRightInd w:val="0"/>
        <w:snapToGrid w:val="0"/>
        <w:spacing w:line="360" w:lineRule="auto"/>
        <w:ind w:firstLine="420" w:firstLineChars="200"/>
        <w:rPr>
          <w:rFonts w:hint="eastAsia" w:ascii="宋体" w:hAnsi="宋体" w:cs="宋体"/>
          <w:color w:val="auto"/>
          <w:szCs w:val="21"/>
          <w:highlight w:val="none"/>
        </w:rPr>
      </w:pPr>
    </w:p>
    <w:p>
      <w:pPr>
        <w:adjustRightInd w:val="0"/>
        <w:snapToGrid w:val="0"/>
        <w:spacing w:line="360" w:lineRule="auto"/>
        <w:ind w:firstLine="420" w:firstLineChars="200"/>
        <w:rPr>
          <w:rFonts w:hint="eastAsia" w:ascii="宋体" w:hAnsi="宋体" w:cs="宋体"/>
          <w:color w:val="auto"/>
          <w:szCs w:val="21"/>
          <w:highlight w:val="none"/>
        </w:rPr>
      </w:pP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 立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（公章） </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（签字） </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pPr>
        <w:adjustRightInd w:val="0"/>
        <w:snapToGrid w:val="0"/>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pPr>
        <w:adjustRightInd w:val="0"/>
        <w:snapToGrid w:val="0"/>
        <w:spacing w:line="360" w:lineRule="auto"/>
        <w:ind w:left="1323" w:leftChars="200" w:hanging="903" w:hangingChars="430"/>
        <w:rPr>
          <w:rFonts w:hint="eastAsia" w:ascii="宋体" w:hAnsi="宋体" w:cs="宋体"/>
          <w:color w:val="auto"/>
          <w:szCs w:val="21"/>
          <w:highlight w:val="none"/>
        </w:rPr>
      </w:pPr>
      <w:r>
        <w:rPr>
          <w:rFonts w:hint="eastAsia" w:ascii="宋体" w:hAnsi="宋体" w:cs="宋体"/>
          <w:color w:val="auto"/>
          <w:szCs w:val="21"/>
          <w:highlight w:val="none"/>
        </w:rPr>
        <w:t>开立时间：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rPr>
          <w:rFonts w:hint="eastAsia" w:ascii="宋体" w:hAnsi="宋体" w:cs="宋体"/>
          <w:bCs/>
          <w:color w:val="auto"/>
          <w:sz w:val="24"/>
          <w:highlight w:val="none"/>
        </w:rPr>
      </w:pPr>
      <w:bookmarkStart w:id="1003" w:name="_Toc95223510"/>
      <w:r>
        <w:rPr>
          <w:rFonts w:hint="eastAsia" w:ascii="宋体" w:hAnsi="宋体" w:cs="宋体"/>
          <w:bCs/>
          <w:color w:val="auto"/>
          <w:sz w:val="24"/>
          <w:highlight w:val="none"/>
        </w:rPr>
        <w:br w:type="page"/>
      </w:r>
    </w:p>
    <w:p>
      <w:pPr>
        <w:keepNext/>
        <w:keepLines/>
        <w:adjustRightInd w:val="0"/>
        <w:snapToGrid w:val="0"/>
        <w:spacing w:line="360" w:lineRule="auto"/>
        <w:jc w:val="left"/>
        <w:outlineLvl w:val="2"/>
        <w:rPr>
          <w:rFonts w:hint="eastAsia" w:ascii="宋体" w:hAnsi="宋体" w:cs="宋体"/>
          <w:bCs/>
          <w:color w:val="auto"/>
          <w:sz w:val="24"/>
          <w:highlight w:val="none"/>
        </w:rPr>
      </w:pPr>
      <w:r>
        <w:rPr>
          <w:rFonts w:hint="eastAsia" w:ascii="宋体" w:hAnsi="宋体" w:cs="宋体"/>
          <w:bCs/>
          <w:color w:val="auto"/>
          <w:sz w:val="24"/>
          <w:highlight w:val="none"/>
        </w:rPr>
        <w:t>附件</w:t>
      </w:r>
      <w:r>
        <w:rPr>
          <w:rFonts w:hint="eastAsia" w:ascii="宋体" w:hAnsi="宋体" w:cs="宋体"/>
          <w:bCs/>
          <w:color w:val="auto"/>
          <w:sz w:val="24"/>
          <w:highlight w:val="none"/>
          <w:lang w:val="en-US" w:eastAsia="zh-CN"/>
        </w:rPr>
        <w:t>8</w:t>
      </w:r>
      <w:r>
        <w:rPr>
          <w:rFonts w:hint="eastAsia" w:ascii="宋体" w:hAnsi="宋体" w:cs="宋体"/>
          <w:bCs/>
          <w:color w:val="auto"/>
          <w:sz w:val="24"/>
          <w:highlight w:val="none"/>
        </w:rPr>
        <w:t>：暂估价一览表</w:t>
      </w:r>
      <w:bookmarkEnd w:id="1003"/>
    </w:p>
    <w:p>
      <w:pPr>
        <w:spacing w:before="120" w:beforeLines="50" w:after="120" w:afterLines="50"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12-1：材料暂估价表</w:t>
      </w:r>
    </w:p>
    <w:tbl>
      <w:tblPr>
        <w:tblStyle w:val="46"/>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984"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名称</w:t>
            </w:r>
          </w:p>
        </w:tc>
        <w:tc>
          <w:tcPr>
            <w:tcW w:w="851"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单位</w:t>
            </w:r>
          </w:p>
        </w:tc>
        <w:tc>
          <w:tcPr>
            <w:tcW w:w="774"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1352"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单价（元）</w:t>
            </w:r>
          </w:p>
        </w:tc>
        <w:tc>
          <w:tcPr>
            <w:tcW w:w="1418"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合价（元）</w:t>
            </w:r>
          </w:p>
        </w:tc>
        <w:tc>
          <w:tcPr>
            <w:tcW w:w="1701"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bl>
    <w:p>
      <w:pPr>
        <w:spacing w:before="120" w:beforeLines="50" w:after="120" w:afterLines="50" w:line="440" w:lineRule="exact"/>
        <w:rPr>
          <w:rFonts w:hint="eastAsia" w:ascii="宋体" w:hAnsi="宋体" w:cs="宋体"/>
          <w:color w:val="auto"/>
          <w:szCs w:val="21"/>
          <w:highlight w:val="none"/>
        </w:rPr>
      </w:pPr>
    </w:p>
    <w:p>
      <w:pPr>
        <w:spacing w:before="120" w:beforeLines="50" w:after="120" w:afterLines="50"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12-2：工程设备暂估价表</w:t>
      </w:r>
    </w:p>
    <w:tbl>
      <w:tblPr>
        <w:tblStyle w:val="46"/>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984"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名称</w:t>
            </w:r>
          </w:p>
        </w:tc>
        <w:tc>
          <w:tcPr>
            <w:tcW w:w="851"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单位</w:t>
            </w:r>
          </w:p>
        </w:tc>
        <w:tc>
          <w:tcPr>
            <w:tcW w:w="774"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1352"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单价（元）</w:t>
            </w:r>
          </w:p>
        </w:tc>
        <w:tc>
          <w:tcPr>
            <w:tcW w:w="1418"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合价（元）</w:t>
            </w:r>
          </w:p>
        </w:tc>
        <w:tc>
          <w:tcPr>
            <w:tcW w:w="1701"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bl>
    <w:p>
      <w:pPr>
        <w:spacing w:line="440" w:lineRule="exact"/>
        <w:rPr>
          <w:rFonts w:hint="eastAsia" w:ascii="宋体" w:hAnsi="宋体" w:cs="宋体"/>
          <w:color w:val="auto"/>
          <w:szCs w:val="21"/>
          <w:highlight w:val="none"/>
        </w:rPr>
      </w:pPr>
    </w:p>
    <w:p>
      <w:pPr>
        <w:spacing w:before="120" w:beforeLines="50" w:after="120" w:afterLines="50"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12-3：专业工程暂估价表</w:t>
      </w:r>
    </w:p>
    <w:tbl>
      <w:tblPr>
        <w:tblStyle w:val="46"/>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984"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名称</w:t>
            </w:r>
          </w:p>
        </w:tc>
        <w:tc>
          <w:tcPr>
            <w:tcW w:w="851"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单位</w:t>
            </w:r>
          </w:p>
        </w:tc>
        <w:tc>
          <w:tcPr>
            <w:tcW w:w="774"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1352"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单价（元）</w:t>
            </w:r>
          </w:p>
        </w:tc>
        <w:tc>
          <w:tcPr>
            <w:tcW w:w="1418"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合价（元）</w:t>
            </w:r>
          </w:p>
        </w:tc>
        <w:tc>
          <w:tcPr>
            <w:tcW w:w="1701" w:type="dxa"/>
            <w:tcBorders>
              <w:top w:val="single" w:color="auto" w:sz="12" w:space="0"/>
              <w:bottom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tcBorders>
              <w:top w:val="double" w:color="auto" w:sz="6"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tcBorders>
              <w:top w:val="nil"/>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984"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851"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774"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352"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418"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c>
          <w:tcPr>
            <w:tcW w:w="1701" w:type="dxa"/>
            <w:tcBorders>
              <w:bottom w:val="single" w:color="auto" w:sz="12" w:space="0"/>
            </w:tcBorders>
            <w:noWrap w:val="0"/>
            <w:vAlign w:val="top"/>
          </w:tcPr>
          <w:p>
            <w:pPr>
              <w:keepNext/>
              <w:keepLines w:val="0"/>
              <w:suppressLineNumbers w:val="0"/>
              <w:spacing w:before="0" w:beforeAutospacing="0" w:after="0" w:afterAutospacing="0" w:line="440" w:lineRule="exact"/>
              <w:ind w:left="0" w:right="0"/>
              <w:rPr>
                <w:rFonts w:hint="eastAsia" w:ascii="宋体" w:hAnsi="宋体" w:cs="宋体"/>
                <w:color w:val="auto"/>
                <w:szCs w:val="21"/>
                <w:highlight w:val="none"/>
              </w:rPr>
            </w:pPr>
          </w:p>
        </w:tc>
      </w:tr>
    </w:tbl>
    <w:p>
      <w:pPr>
        <w:rPr>
          <w:rFonts w:hint="eastAsia" w:ascii="宋体" w:hAnsi="宋体" w:cs="宋体"/>
          <w:color w:val="auto"/>
          <w:szCs w:val="21"/>
          <w:highlight w:val="none"/>
        </w:rPr>
      </w:pPr>
    </w:p>
    <w:p>
      <w:pPr>
        <w:rPr>
          <w:rFonts w:hint="eastAsia" w:ascii="宋体" w:hAnsi="宋体" w:cs="宋体"/>
          <w:color w:val="auto"/>
          <w:szCs w:val="22"/>
          <w:highlight w:val="none"/>
        </w:rPr>
      </w:pPr>
    </w:p>
    <w:p>
      <w:pPr>
        <w:rPr>
          <w:rFonts w:hint="eastAsia" w:ascii="宋体" w:hAnsi="宋体" w:cs="宋体"/>
          <w:color w:val="auto"/>
          <w:szCs w:val="22"/>
          <w:highlight w:val="none"/>
        </w:rPr>
      </w:pPr>
    </w:p>
    <w:p>
      <w:pPr>
        <w:keepNext/>
        <w:keepLines/>
        <w:spacing w:before="120" w:after="120" w:line="360" w:lineRule="auto"/>
        <w:jc w:val="left"/>
        <w:outlineLvl w:val="2"/>
        <w:rPr>
          <w:rFonts w:hint="eastAsia" w:ascii="宋体" w:hAnsi="宋体" w:cs="宋体"/>
          <w:color w:val="auto"/>
          <w:highlight w:val="none"/>
        </w:rPr>
        <w:sectPr>
          <w:footerReference r:id="rId6" w:type="default"/>
          <w:footnotePr>
            <w:numFmt w:val="decimalEnclosedCircleChinese"/>
            <w:numRestart w:val="eachPage"/>
          </w:footnotePr>
          <w:pgSz w:w="11907" w:h="16840"/>
          <w:pgMar w:top="1474" w:right="1474" w:bottom="1474" w:left="1474" w:header="799" w:footer="907" w:gutter="0"/>
          <w:pgNumType w:fmt="decimal" w:start="1"/>
          <w:cols w:space="720" w:num="1"/>
          <w:docGrid w:linePitch="271" w:charSpace="0"/>
        </w:sectPr>
      </w:pPr>
    </w:p>
    <w:p>
      <w:pPr>
        <w:keepNext/>
        <w:keepLines/>
        <w:spacing w:before="120" w:after="120" w:line="360" w:lineRule="auto"/>
        <w:jc w:val="left"/>
        <w:outlineLvl w:val="2"/>
        <w:rPr>
          <w:rFonts w:hint="eastAsia" w:ascii="宋体" w:hAnsi="宋体" w:cs="宋体"/>
          <w:bCs/>
          <w:color w:val="auto"/>
          <w:sz w:val="24"/>
          <w:highlight w:val="none"/>
        </w:rPr>
      </w:pPr>
      <w:bookmarkStart w:id="1004" w:name="_Toc95223511"/>
      <w:r>
        <w:rPr>
          <w:rFonts w:hint="eastAsia" w:ascii="宋体" w:hAnsi="宋体" w:cs="宋体"/>
          <w:bCs/>
          <w:color w:val="auto"/>
          <w:sz w:val="24"/>
          <w:highlight w:val="none"/>
        </w:rPr>
        <w:t>附件</w:t>
      </w:r>
      <w:r>
        <w:rPr>
          <w:rFonts w:hint="eastAsia" w:ascii="宋体" w:hAnsi="宋体" w:cs="宋体"/>
          <w:bCs/>
          <w:color w:val="auto"/>
          <w:sz w:val="24"/>
          <w:highlight w:val="none"/>
          <w:lang w:val="en-US" w:eastAsia="zh-CN"/>
        </w:rPr>
        <w:t>9</w:t>
      </w:r>
      <w:r>
        <w:rPr>
          <w:rFonts w:hint="eastAsia" w:ascii="宋体" w:hAnsi="宋体" w:cs="宋体"/>
          <w:bCs/>
          <w:color w:val="auto"/>
          <w:sz w:val="24"/>
          <w:highlight w:val="none"/>
        </w:rPr>
        <w:t>：安全生产合同</w:t>
      </w:r>
      <w:bookmarkEnd w:id="1004"/>
    </w:p>
    <w:p>
      <w:pPr>
        <w:adjustRightInd w:val="0"/>
        <w:snapToGrid w:val="0"/>
        <w:spacing w:line="360" w:lineRule="auto"/>
        <w:jc w:val="center"/>
        <w:outlineLvl w:val="0"/>
        <w:rPr>
          <w:rFonts w:hint="eastAsia" w:ascii="宋体" w:hAnsi="宋体" w:cs="宋体"/>
          <w:b/>
          <w:color w:val="auto"/>
          <w:sz w:val="32"/>
          <w:szCs w:val="32"/>
          <w:highlight w:val="none"/>
        </w:rPr>
      </w:pPr>
      <w:bookmarkStart w:id="1005" w:name="_Toc95223512"/>
      <w:bookmarkStart w:id="1006" w:name="_Toc26993"/>
      <w:bookmarkStart w:id="1007" w:name="_Toc16956"/>
      <w:bookmarkStart w:id="1008" w:name="_Toc32439"/>
      <w:bookmarkStart w:id="1009" w:name="_Toc31602"/>
      <w:r>
        <w:rPr>
          <w:rFonts w:hint="eastAsia" w:ascii="宋体" w:hAnsi="宋体" w:cs="宋体"/>
          <w:b/>
          <w:color w:val="auto"/>
          <w:sz w:val="32"/>
          <w:szCs w:val="32"/>
          <w:highlight w:val="none"/>
        </w:rPr>
        <w:t>安全生产合同</w:t>
      </w:r>
      <w:bookmarkEnd w:id="1005"/>
      <w:bookmarkEnd w:id="1006"/>
      <w:bookmarkEnd w:id="1007"/>
      <w:bookmarkEnd w:id="1008"/>
      <w:bookmarkEnd w:id="1009"/>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为在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（标段）施工合同的实施过程中创造安全、高效的施工环境，切实搞好本项目的安全管理工作，本项目发包人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（发包人名称，以下简称“发包人”）与承包人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（承包人名称，以下简称“承包人”）特此签订安全生产合同：</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1.发包人职责</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（1）严格遵守国家有关安全生产的法律法规，认真执行工程承包合同中的有关安全要求。</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（2）按照“安全第一、预防为主”和坚持“管生产必须管安全”的原则进行安全生产管理，做到生产与安全工作同时计划、布置、检查、总结和评比。</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（3）重要的安全设施必须坚持与主体工程“三同时”的原则，即：同时设计、审批，同时施工，同时验收，投入使用。</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（4）定期召开安全生产调度会，及时传达中央及地方有关安全生产的精神。</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（5）组织对承包人施工现场安全生产检查，监督承包人及时处理发现的各种安全隐患。</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2.承包人职责</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（4）承包人在任何时候都应采取各种合理的预防措施，防止其员工发生任何违法、违禁、暴力或妨碍治安的行为。</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（7）操作人员上岗，必须按规定穿戴防护用品。施工负责人和安全检查员应随时检查劳动防护用品的穿戴情况，不按规定穿戴防护用品的人员不得上岗。</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（8）所有施工机具设备和高空作业的设备均应定期检查，并有安全员的签字记录，保证其经常处于完好状态；不合格的机具、设备和劳动保护用品严禁使用：</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（9）施工中采用新技术、新工艺、新设备、新材料时，必须制定相应的安全技术措施，施工现场必须具有相关的安全标志牌。</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（11）安全生产费用按照《建设工程安全生产管理条例》的相关规定使用和管理。</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3.违约责任</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如因发包人或承包人违约造成安全事故，将依法追究责任。</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4.本合同由双方法定代表人或其授权的代理人签署并加盖单位章后生效，全部工程竣工验收后失效。</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5.本合同正本—式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份，副本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份，合同双方各执正本—份，副本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份，当正本与副本的内容不一致时，以正本为准。</w:t>
      </w:r>
    </w:p>
    <w:p>
      <w:pPr>
        <w:spacing w:line="360" w:lineRule="auto"/>
        <w:rPr>
          <w:rFonts w:hint="eastAsia" w:ascii="宋体" w:hAnsi="宋体" w:cs="宋体"/>
          <w:color w:val="auto"/>
          <w:szCs w:val="21"/>
          <w:highlight w:val="none"/>
        </w:rPr>
      </w:pPr>
    </w:p>
    <w:p>
      <w:pPr>
        <w:spacing w:line="360" w:lineRule="auto"/>
        <w:rPr>
          <w:rFonts w:hint="eastAsia" w:ascii="宋体" w:hAnsi="宋体" w:cs="宋体"/>
          <w:color w:val="auto"/>
          <w:szCs w:val="21"/>
          <w:highlight w:val="none"/>
        </w:rPr>
      </w:pP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发包人：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（盖单位章）           承包人：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（盖单位章）</w:t>
      </w:r>
    </w:p>
    <w:p>
      <w:pPr>
        <w:spacing w:line="360" w:lineRule="auto"/>
        <w:rPr>
          <w:rFonts w:hint="eastAsia" w:ascii="宋体" w:hAnsi="宋体" w:cs="宋体"/>
          <w:color w:val="auto"/>
          <w:szCs w:val="21"/>
          <w:highlight w:val="none"/>
        </w:rPr>
      </w:pP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           法定代表人或其委托代理人：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w:t>
      </w:r>
    </w:p>
    <w:p>
      <w:pPr>
        <w:spacing w:line="360" w:lineRule="auto"/>
        <w:rPr>
          <w:rFonts w:hint="eastAsia" w:ascii="宋体" w:hAnsi="宋体" w:cs="宋体"/>
          <w:color w:val="auto"/>
          <w:szCs w:val="21"/>
          <w:highlight w:val="none"/>
        </w:rPr>
      </w:pPr>
    </w:p>
    <w:p>
      <w:pPr>
        <w:spacing w:line="360" w:lineRule="auto"/>
        <w:ind w:firstLine="84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日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keepNext/>
        <w:keepLines/>
        <w:spacing w:before="120" w:after="120" w:line="360" w:lineRule="auto"/>
        <w:jc w:val="left"/>
        <w:outlineLvl w:val="2"/>
        <w:rPr>
          <w:rFonts w:hint="eastAsia" w:ascii="宋体" w:hAnsi="宋体" w:cs="宋体"/>
          <w:bCs/>
          <w:color w:val="auto"/>
          <w:sz w:val="24"/>
          <w:highlight w:val="none"/>
        </w:rPr>
      </w:pPr>
      <w:r>
        <w:rPr>
          <w:rFonts w:hint="eastAsia" w:ascii="宋体" w:hAnsi="宋体" w:cs="宋体"/>
          <w:bCs/>
          <w:color w:val="auto"/>
          <w:kern w:val="44"/>
          <w:sz w:val="32"/>
          <w:szCs w:val="44"/>
          <w:highlight w:val="none"/>
        </w:rPr>
        <w:br w:type="page"/>
      </w:r>
      <w:bookmarkStart w:id="1010" w:name="_Toc95223513"/>
      <w:r>
        <w:rPr>
          <w:rFonts w:hint="eastAsia" w:ascii="宋体" w:hAnsi="宋体" w:cs="宋体"/>
          <w:bCs/>
          <w:color w:val="auto"/>
          <w:sz w:val="24"/>
          <w:highlight w:val="none"/>
        </w:rPr>
        <w:t>附件1</w:t>
      </w:r>
      <w:r>
        <w:rPr>
          <w:rFonts w:hint="eastAsia" w:ascii="宋体" w:hAnsi="宋体" w:cs="宋体"/>
          <w:bCs/>
          <w:color w:val="auto"/>
          <w:sz w:val="24"/>
          <w:highlight w:val="none"/>
          <w:lang w:val="en-US" w:eastAsia="zh-CN"/>
        </w:rPr>
        <w:t>0</w:t>
      </w:r>
      <w:r>
        <w:rPr>
          <w:rFonts w:hint="eastAsia" w:ascii="宋体" w:hAnsi="宋体" w:cs="宋体"/>
          <w:bCs/>
          <w:color w:val="auto"/>
          <w:sz w:val="24"/>
          <w:highlight w:val="none"/>
        </w:rPr>
        <w:t>：项目经理质量终身责任制承诺</w:t>
      </w:r>
      <w:bookmarkEnd w:id="1010"/>
    </w:p>
    <w:p>
      <w:pPr>
        <w:keepNext/>
        <w:keepLines/>
        <w:spacing w:before="120" w:after="120" w:line="360" w:lineRule="auto"/>
        <w:jc w:val="left"/>
        <w:outlineLvl w:val="2"/>
        <w:rPr>
          <w:rFonts w:hint="eastAsia" w:ascii="宋体" w:hAnsi="宋体" w:cs="宋体"/>
          <w:bCs/>
          <w:color w:val="auto"/>
          <w:sz w:val="24"/>
          <w:highlight w:val="none"/>
        </w:rPr>
      </w:pPr>
    </w:p>
    <w:p>
      <w:pPr>
        <w:adjustRightInd w:val="0"/>
        <w:snapToGrid w:val="0"/>
        <w:spacing w:line="360" w:lineRule="auto"/>
        <w:jc w:val="center"/>
        <w:outlineLvl w:val="0"/>
        <w:rPr>
          <w:rFonts w:hint="eastAsia" w:ascii="宋体" w:hAnsi="宋体" w:cs="宋体"/>
          <w:b/>
          <w:color w:val="auto"/>
          <w:sz w:val="32"/>
          <w:szCs w:val="32"/>
          <w:highlight w:val="none"/>
        </w:rPr>
      </w:pPr>
      <w:bookmarkStart w:id="1011" w:name="_Toc31476"/>
      <w:bookmarkStart w:id="1012" w:name="_Toc95223514"/>
      <w:bookmarkStart w:id="1013" w:name="_Toc20282"/>
      <w:bookmarkStart w:id="1014" w:name="_Toc19059"/>
      <w:bookmarkStart w:id="1015" w:name="_Toc4934"/>
      <w:r>
        <w:rPr>
          <w:rFonts w:hint="eastAsia" w:ascii="宋体" w:hAnsi="宋体" w:cs="宋体"/>
          <w:b/>
          <w:color w:val="auto"/>
          <w:sz w:val="32"/>
          <w:szCs w:val="32"/>
          <w:highlight w:val="none"/>
        </w:rPr>
        <w:t>项目经理质量终身责任制承诺</w:t>
      </w:r>
      <w:bookmarkEnd w:id="1011"/>
      <w:bookmarkEnd w:id="1012"/>
      <w:bookmarkEnd w:id="1013"/>
      <w:bookmarkEnd w:id="1014"/>
      <w:bookmarkEnd w:id="1015"/>
    </w:p>
    <w:p>
      <w:pPr>
        <w:adjustRightInd w:val="0"/>
        <w:snapToGrid w:val="0"/>
        <w:spacing w:line="360" w:lineRule="auto"/>
        <w:jc w:val="center"/>
        <w:outlineLvl w:val="0"/>
        <w:rPr>
          <w:rFonts w:hint="eastAsia" w:ascii="宋体" w:hAnsi="宋体" w:cs="宋体"/>
          <w:b/>
          <w:color w:val="auto"/>
          <w:sz w:val="32"/>
          <w:szCs w:val="32"/>
          <w:highlight w:val="none"/>
        </w:rPr>
      </w:pPr>
    </w:p>
    <w:p>
      <w:pPr>
        <w:adjustRightInd w:val="0"/>
        <w:snapToGrid w:val="0"/>
        <w:spacing w:line="360" w:lineRule="auto"/>
        <w:rPr>
          <w:rFonts w:hint="eastAsia" w:ascii="宋体" w:hAnsi="宋体" w:cs="宋体"/>
          <w:bCs/>
          <w:color w:val="auto"/>
          <w:sz w:val="24"/>
          <w:szCs w:val="21"/>
          <w:highlight w:val="none"/>
        </w:rPr>
      </w:pPr>
      <w:r>
        <w:rPr>
          <w:rFonts w:hint="eastAsia" w:ascii="宋体" w:hAnsi="宋体" w:cs="宋体"/>
          <w:bCs/>
          <w:color w:val="auto"/>
          <w:sz w:val="24"/>
          <w:szCs w:val="21"/>
          <w:highlight w:val="none"/>
        </w:rPr>
        <w:t>致：______________(招标人名称)</w:t>
      </w:r>
    </w:p>
    <w:p>
      <w:pPr>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rPr>
        <w:t>本人作为拟委任的施工项目经理，承担相关质量终身责任，现郑重承诺如下：</w:t>
      </w:r>
    </w:p>
    <w:p>
      <w:pPr>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rPr>
        <w:t>一、在取得施工许可证后进行施工。</w:t>
      </w:r>
    </w:p>
    <w:p>
      <w:pPr>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rPr>
        <w:t>二、严格执行施工规范及标准。</w:t>
      </w:r>
    </w:p>
    <w:p>
      <w:pPr>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rPr>
        <w:t>三、严格按规定配备施工项目部关键岗位人员，并确保所有人员到岗履职。</w:t>
      </w:r>
    </w:p>
    <w:p>
      <w:pPr>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rPr>
        <w:t>四、严格按照经施工图审查机构审查合格的工程设计文件及合同约定的质量标准精心组织施工。</w:t>
      </w:r>
    </w:p>
    <w:p>
      <w:pPr>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rPr>
        <w:t>五、施工中采用合格的建筑材料、建筑构配件和设备等，并严格按规定执行见证取样制度。</w:t>
      </w:r>
    </w:p>
    <w:p>
      <w:pPr>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rPr>
        <w:t>六、建立、健全质量检查、验收制度，严格工序管理，做好隐蔽工程质量的检查和记录。</w:t>
      </w:r>
    </w:p>
    <w:p>
      <w:pPr>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rPr>
        <w:t>七、对施工中出现的质量问题，及时进行整改。严格依法依规履行义务。</w:t>
      </w:r>
    </w:p>
    <w:p>
      <w:pPr>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rPr>
        <w:t>八、履行相关工程质量检查、验收及事故处理等职责。</w:t>
      </w:r>
    </w:p>
    <w:p>
      <w:pPr>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rPr>
        <w:t>九、履行其他法律法规规定的职责。</w:t>
      </w:r>
    </w:p>
    <w:p>
      <w:pPr>
        <w:spacing w:line="360" w:lineRule="auto"/>
        <w:ind w:left="359" w:leftChars="171" w:firstLine="720" w:firstLineChars="300"/>
        <w:rPr>
          <w:rFonts w:hint="eastAsia" w:ascii="宋体" w:hAnsi="宋体" w:cs="宋体"/>
          <w:bCs/>
          <w:color w:val="auto"/>
          <w:sz w:val="24"/>
          <w:szCs w:val="21"/>
          <w:highlight w:val="none"/>
        </w:rPr>
      </w:pPr>
    </w:p>
    <w:p>
      <w:pPr>
        <w:spacing w:line="360" w:lineRule="auto"/>
        <w:ind w:left="359" w:leftChars="171" w:firstLine="720" w:firstLineChars="300"/>
        <w:rPr>
          <w:rFonts w:hint="eastAsia" w:ascii="宋体" w:hAnsi="宋体" w:cs="宋体"/>
          <w:bCs/>
          <w:color w:val="auto"/>
          <w:sz w:val="24"/>
          <w:szCs w:val="21"/>
          <w:highlight w:val="none"/>
        </w:rPr>
      </w:pPr>
    </w:p>
    <w:p>
      <w:pPr>
        <w:spacing w:line="360" w:lineRule="auto"/>
        <w:ind w:left="359" w:leftChars="171" w:firstLine="720" w:firstLineChars="300"/>
        <w:rPr>
          <w:rFonts w:hint="eastAsia" w:ascii="宋体" w:hAnsi="宋体" w:cs="宋体"/>
          <w:bCs/>
          <w:color w:val="auto"/>
          <w:sz w:val="24"/>
          <w:szCs w:val="21"/>
          <w:highlight w:val="none"/>
        </w:rPr>
      </w:pPr>
      <w:r>
        <w:rPr>
          <w:rFonts w:hint="eastAsia" w:ascii="宋体" w:hAnsi="宋体" w:cs="宋体"/>
          <w:bCs/>
          <w:color w:val="auto"/>
          <w:sz w:val="24"/>
          <w:szCs w:val="21"/>
          <w:highlight w:val="none"/>
        </w:rPr>
        <w:t>项目经理：</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（签字）</w:t>
      </w:r>
    </w:p>
    <w:p>
      <w:pPr>
        <w:spacing w:line="360" w:lineRule="auto"/>
        <w:ind w:left="359" w:leftChars="171" w:firstLine="720" w:firstLineChars="300"/>
        <w:rPr>
          <w:rFonts w:hint="eastAsia" w:ascii="宋体" w:hAnsi="宋体" w:cs="宋体"/>
          <w:bCs/>
          <w:color w:val="auto"/>
          <w:sz w:val="24"/>
          <w:szCs w:val="21"/>
          <w:highlight w:val="none"/>
        </w:rPr>
      </w:pPr>
      <w:r>
        <w:rPr>
          <w:rFonts w:hint="eastAsia" w:ascii="宋体" w:hAnsi="宋体" w:cs="宋体"/>
          <w:bCs/>
          <w:color w:val="auto"/>
          <w:sz w:val="24"/>
          <w:szCs w:val="21"/>
          <w:highlight w:val="none"/>
        </w:rPr>
        <w:t>日期：_____年____月____日</w:t>
      </w:r>
    </w:p>
    <w:p>
      <w:pPr>
        <w:pStyle w:val="2"/>
        <w:rPr>
          <w:rFonts w:hint="eastAsia"/>
          <w:color w:val="auto"/>
          <w:highlight w:val="none"/>
        </w:rPr>
      </w:pPr>
    </w:p>
    <w:p>
      <w:pPr>
        <w:rPr>
          <w:rFonts w:hint="eastAsia"/>
          <w:bCs/>
          <w:color w:val="auto"/>
          <w:szCs w:val="32"/>
          <w:highlight w:val="none"/>
        </w:rPr>
      </w:pPr>
    </w:p>
    <w:p>
      <w:pPr>
        <w:rPr>
          <w:rFonts w:hint="eastAsia"/>
          <w:bCs/>
          <w:color w:val="auto"/>
          <w:szCs w:val="32"/>
          <w:highlight w:val="none"/>
        </w:rPr>
      </w:pPr>
    </w:p>
    <w:p>
      <w:pPr>
        <w:rPr>
          <w:rFonts w:hint="eastAsia"/>
          <w:bCs/>
          <w:color w:val="auto"/>
          <w:szCs w:val="32"/>
          <w:highlight w:val="none"/>
        </w:rPr>
      </w:pPr>
    </w:p>
    <w:p>
      <w:pPr>
        <w:rPr>
          <w:rFonts w:hint="eastAsia"/>
          <w:bCs/>
          <w:color w:val="auto"/>
          <w:szCs w:val="32"/>
          <w:highlight w:val="none"/>
        </w:rPr>
      </w:pPr>
    </w:p>
    <w:p>
      <w:pPr>
        <w:rPr>
          <w:rFonts w:hint="eastAsia"/>
          <w:bCs/>
          <w:color w:val="auto"/>
          <w:szCs w:val="32"/>
          <w:highlight w:val="none"/>
        </w:rPr>
      </w:pPr>
    </w:p>
    <w:p>
      <w:pPr>
        <w:rPr>
          <w:rFonts w:hint="eastAsia"/>
          <w:bCs/>
          <w:color w:val="auto"/>
          <w:szCs w:val="32"/>
          <w:highlight w:val="none"/>
        </w:rPr>
      </w:pPr>
    </w:p>
    <w:p>
      <w:pPr>
        <w:rPr>
          <w:rFonts w:hint="eastAsia"/>
          <w:bCs/>
          <w:color w:val="auto"/>
          <w:szCs w:val="32"/>
          <w:highlight w:val="none"/>
        </w:rPr>
      </w:pPr>
    </w:p>
    <w:p>
      <w:pPr>
        <w:rPr>
          <w:rFonts w:hint="eastAsia"/>
          <w:bCs/>
          <w:color w:val="auto"/>
          <w:szCs w:val="32"/>
          <w:highlight w:val="none"/>
        </w:rPr>
      </w:pPr>
    </w:p>
    <w:p>
      <w:pPr>
        <w:rPr>
          <w:rFonts w:hint="eastAsia"/>
          <w:bCs/>
          <w:color w:val="auto"/>
          <w:szCs w:val="32"/>
          <w:highlight w:val="none"/>
        </w:rPr>
      </w:pPr>
    </w:p>
    <w:p>
      <w:pPr>
        <w:spacing w:line="360" w:lineRule="auto"/>
        <w:jc w:val="center"/>
        <w:outlineLvl w:val="0"/>
        <w:rPr>
          <w:rFonts w:hint="eastAsia" w:ascii="宋体" w:hAnsi="宋体" w:cs="宋体"/>
          <w:bCs/>
          <w:color w:val="000000"/>
          <w:sz w:val="24"/>
          <w:szCs w:val="21"/>
        </w:rPr>
      </w:pPr>
      <w:bookmarkStart w:id="1016" w:name="_Toc4767"/>
      <w:bookmarkStart w:id="1017" w:name="_Toc95223515"/>
      <w:r>
        <w:rPr>
          <w:rFonts w:hint="eastAsia" w:ascii="宋体" w:hAnsi="宋体" w:cs="宋体"/>
          <w:bCs/>
          <w:color w:val="000000"/>
          <w:kern w:val="44"/>
          <w:sz w:val="36"/>
          <w:szCs w:val="36"/>
        </w:rPr>
        <w:t>第</w:t>
      </w:r>
      <w:r>
        <w:rPr>
          <w:rFonts w:hint="eastAsia" w:ascii="宋体" w:hAnsi="宋体" w:cs="宋体"/>
          <w:bCs/>
          <w:color w:val="000000"/>
          <w:kern w:val="44"/>
          <w:sz w:val="36"/>
          <w:szCs w:val="36"/>
          <w:lang w:val="en-US" w:eastAsia="zh-CN"/>
        </w:rPr>
        <w:t>五</w:t>
      </w:r>
      <w:r>
        <w:rPr>
          <w:rFonts w:hint="eastAsia" w:ascii="宋体" w:hAnsi="宋体" w:cs="宋体"/>
          <w:bCs/>
          <w:color w:val="000000"/>
          <w:kern w:val="44"/>
          <w:sz w:val="36"/>
          <w:szCs w:val="36"/>
        </w:rPr>
        <w:t>章  工程量清单</w:t>
      </w:r>
      <w:bookmarkEnd w:id="1016"/>
      <w:bookmarkEnd w:id="1017"/>
    </w:p>
    <w:p>
      <w:pPr>
        <w:keepNext/>
        <w:keepLines/>
        <w:adjustRightInd w:val="0"/>
        <w:snapToGrid w:val="0"/>
        <w:spacing w:line="480" w:lineRule="auto"/>
        <w:outlineLvl w:val="1"/>
        <w:rPr>
          <w:rFonts w:hint="eastAsia" w:ascii="宋体" w:hAnsi="宋体" w:cs="宋体"/>
          <w:b/>
          <w:bCs/>
          <w:color w:val="000000"/>
          <w:sz w:val="24"/>
          <w:szCs w:val="24"/>
        </w:rPr>
      </w:pPr>
      <w:bookmarkStart w:id="1018" w:name="_Toc1620"/>
      <w:bookmarkStart w:id="1019" w:name="_Toc95223516"/>
      <w:r>
        <w:rPr>
          <w:rFonts w:hint="eastAsia" w:ascii="宋体" w:hAnsi="宋体" w:cs="宋体"/>
          <w:b/>
          <w:bCs/>
          <w:color w:val="000000"/>
          <w:sz w:val="24"/>
          <w:szCs w:val="24"/>
        </w:rPr>
        <w:t>1. 计价依据</w:t>
      </w:r>
      <w:bookmarkEnd w:id="1018"/>
      <w:bookmarkEnd w:id="1019"/>
    </w:p>
    <w:p>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 计价依据的确定符合国家法律法规、现行有关标准与规范，工程所在地的省、市工程定额和工程造价的规定以及工程造价信息要求。</w:t>
      </w:r>
    </w:p>
    <w:p>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 xml:space="preserve">1.2 安全文明施工费按下表执行： </w:t>
      </w:r>
    </w:p>
    <w:tbl>
      <w:tblPr>
        <w:tblStyle w:val="46"/>
        <w:tblW w:w="9203" w:type="dxa"/>
        <w:tblInd w:w="1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6"/>
        <w:gridCol w:w="1061"/>
        <w:gridCol w:w="675"/>
        <w:gridCol w:w="750"/>
        <w:gridCol w:w="705"/>
        <w:gridCol w:w="795"/>
        <w:gridCol w:w="1014"/>
        <w:gridCol w:w="969"/>
        <w:gridCol w:w="959"/>
        <w:gridCol w:w="9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128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项目名称</w:t>
            </w:r>
          </w:p>
        </w:tc>
        <w:tc>
          <w:tcPr>
            <w:tcW w:w="106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计费</w:t>
            </w:r>
          </w:p>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基础</w:t>
            </w:r>
          </w:p>
        </w:tc>
        <w:tc>
          <w:tcPr>
            <w:tcW w:w="6856"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费率（%）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128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106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675"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建筑工程</w:t>
            </w:r>
          </w:p>
        </w:tc>
        <w:tc>
          <w:tcPr>
            <w:tcW w:w="750"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装饰装修工程</w:t>
            </w:r>
          </w:p>
        </w:tc>
        <w:tc>
          <w:tcPr>
            <w:tcW w:w="705"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安装</w:t>
            </w:r>
          </w:p>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工程</w:t>
            </w:r>
          </w:p>
        </w:tc>
        <w:tc>
          <w:tcPr>
            <w:tcW w:w="795"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市政</w:t>
            </w:r>
          </w:p>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工程</w:t>
            </w:r>
          </w:p>
        </w:tc>
        <w:tc>
          <w:tcPr>
            <w:tcW w:w="198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城市轨道交通工程</w:t>
            </w:r>
          </w:p>
        </w:tc>
        <w:tc>
          <w:tcPr>
            <w:tcW w:w="959"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园林绿化工程</w:t>
            </w:r>
          </w:p>
        </w:tc>
        <w:tc>
          <w:tcPr>
            <w:tcW w:w="989"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仿古建筑工程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5" w:hRule="atLeast"/>
        </w:trPr>
        <w:tc>
          <w:tcPr>
            <w:tcW w:w="1286"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1061"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675"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750"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705"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795"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建筑</w:t>
            </w:r>
          </w:p>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工程</w:t>
            </w: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安装</w:t>
            </w:r>
          </w:p>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工程</w:t>
            </w:r>
          </w:p>
        </w:tc>
        <w:tc>
          <w:tcPr>
            <w:tcW w:w="959"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989"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1286" w:type="dxa"/>
            <w:tcBorders>
              <w:top w:val="single" w:color="auto" w:sz="4" w:space="0"/>
              <w:left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环境保护费</w:t>
            </w:r>
          </w:p>
        </w:tc>
        <w:tc>
          <w:tcPr>
            <w:tcW w:w="106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定额</w:t>
            </w:r>
          </w:p>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人工费</w:t>
            </w:r>
          </w:p>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w:t>
            </w:r>
          </w:p>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定额</w:t>
            </w:r>
          </w:p>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机械费</w:t>
            </w:r>
          </w:p>
        </w:tc>
        <w:tc>
          <w:tcPr>
            <w:tcW w:w="6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3.28</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2.60</w:t>
            </w:r>
          </w:p>
        </w:tc>
        <w:tc>
          <w:tcPr>
            <w:tcW w:w="7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1.78</w:t>
            </w:r>
          </w:p>
        </w:tc>
        <w:tc>
          <w:tcPr>
            <w:tcW w:w="7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3.57</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2.46</w:t>
            </w: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1.57</w:t>
            </w:r>
          </w:p>
        </w:tc>
        <w:tc>
          <w:tcPr>
            <w:tcW w:w="9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1.75</w:t>
            </w:r>
          </w:p>
        </w:tc>
        <w:tc>
          <w:tcPr>
            <w:tcW w:w="9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2.07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文明施工费</w:t>
            </w:r>
          </w:p>
        </w:tc>
        <w:tc>
          <w:tcPr>
            <w:tcW w:w="106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5.12</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4.50</w:t>
            </w:r>
          </w:p>
        </w:tc>
        <w:tc>
          <w:tcPr>
            <w:tcW w:w="7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6.10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7.33</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9.24</w:t>
            </w: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6.30</w:t>
            </w:r>
          </w:p>
        </w:tc>
        <w:tc>
          <w:tcPr>
            <w:tcW w:w="9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3.05</w:t>
            </w:r>
          </w:p>
        </w:tc>
        <w:tc>
          <w:tcPr>
            <w:tcW w:w="9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4.67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安全施工费</w:t>
            </w:r>
          </w:p>
        </w:tc>
        <w:tc>
          <w:tcPr>
            <w:tcW w:w="106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4.13</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3.10</w:t>
            </w:r>
          </w:p>
        </w:tc>
        <w:tc>
          <w:tcPr>
            <w:tcW w:w="7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4.22</w:t>
            </w:r>
          </w:p>
        </w:tc>
        <w:tc>
          <w:tcPr>
            <w:tcW w:w="7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5.28</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4.30</w:t>
            </w: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3.23</w:t>
            </w:r>
          </w:p>
        </w:tc>
        <w:tc>
          <w:tcPr>
            <w:tcW w:w="9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2.16</w:t>
            </w:r>
          </w:p>
        </w:tc>
        <w:tc>
          <w:tcPr>
            <w:tcW w:w="9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2.27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临时设施费</w:t>
            </w:r>
          </w:p>
        </w:tc>
        <w:tc>
          <w:tcPr>
            <w:tcW w:w="106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8.10</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5.80</w:t>
            </w:r>
          </w:p>
        </w:tc>
        <w:tc>
          <w:tcPr>
            <w:tcW w:w="7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4.60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9.99</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8.10</w:t>
            </w: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4.60</w:t>
            </w:r>
          </w:p>
        </w:tc>
        <w:tc>
          <w:tcPr>
            <w:tcW w:w="9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3.20</w:t>
            </w:r>
          </w:p>
        </w:tc>
        <w:tc>
          <w:tcPr>
            <w:tcW w:w="9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cs="宋体"/>
                <w:color w:val="000000"/>
                <w:szCs w:val="21"/>
              </w:rPr>
            </w:pPr>
            <w:r>
              <w:rPr>
                <w:rFonts w:hint="eastAsia" w:ascii="宋体" w:hAnsi="宋体" w:cs="宋体"/>
                <w:color w:val="000000"/>
                <w:szCs w:val="21"/>
              </w:rPr>
              <w:t>3.98</w:t>
            </w:r>
          </w:p>
        </w:tc>
      </w:tr>
    </w:tbl>
    <w:p>
      <w:pPr>
        <w:keepNext/>
        <w:keepLines/>
        <w:pageBreakBefore w:val="0"/>
        <w:widowControl w:val="0"/>
        <w:kinsoku/>
        <w:wordWrap/>
        <w:overflowPunct/>
        <w:topLinePunct w:val="0"/>
        <w:autoSpaceDE/>
        <w:autoSpaceDN/>
        <w:bidi w:val="0"/>
        <w:adjustRightInd w:val="0"/>
        <w:snapToGrid w:val="0"/>
        <w:spacing w:line="400" w:lineRule="exact"/>
        <w:textAlignment w:val="auto"/>
        <w:outlineLvl w:val="1"/>
        <w:rPr>
          <w:rFonts w:hint="eastAsia" w:ascii="宋体" w:hAnsi="宋体" w:eastAsia="宋体" w:cs="宋体"/>
          <w:b/>
          <w:bCs/>
          <w:color w:val="000000"/>
          <w:sz w:val="24"/>
          <w:szCs w:val="24"/>
        </w:rPr>
      </w:pPr>
      <w:bookmarkStart w:id="1020" w:name="_Toc7039"/>
      <w:bookmarkStart w:id="1021" w:name="_Toc95223517"/>
      <w:r>
        <w:rPr>
          <w:rFonts w:hint="eastAsia" w:ascii="宋体" w:hAnsi="宋体" w:eastAsia="宋体" w:cs="宋体"/>
          <w:b/>
          <w:bCs/>
          <w:color w:val="000000"/>
          <w:sz w:val="24"/>
          <w:szCs w:val="24"/>
        </w:rPr>
        <w:t>2. 工程造价确定</w:t>
      </w:r>
      <w:bookmarkEnd w:id="1020"/>
      <w:bookmarkEnd w:id="1021"/>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2.1 本项目采用工程量清单计价。</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2.2 除招标文件另有约定外，本项目计税采用增值税一般计税方法。</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2.3 建设工程造价由分部分项工程费、措施项目费、不可竞争费、其他项目费和税金构成。</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2.4 分部分项工程项目清单采用综合单价计价。综合单价是指完成一个规定计量单位的分部分项工程和措施清单项目所需的人工费、材料和工程设备费、施工机具使用费和综合费（企业管理费和利润）以及一定范围内的风险费用。</w:t>
      </w:r>
    </w:p>
    <w:p>
      <w:pPr>
        <w:keepNext/>
        <w:keepLines/>
        <w:pageBreakBefore w:val="0"/>
        <w:widowControl w:val="0"/>
        <w:kinsoku/>
        <w:wordWrap/>
        <w:overflowPunct/>
        <w:topLinePunct w:val="0"/>
        <w:autoSpaceDE/>
        <w:autoSpaceDN/>
        <w:bidi w:val="0"/>
        <w:adjustRightInd w:val="0"/>
        <w:snapToGrid w:val="0"/>
        <w:spacing w:line="400" w:lineRule="exact"/>
        <w:textAlignment w:val="auto"/>
        <w:outlineLvl w:val="1"/>
        <w:rPr>
          <w:rFonts w:hint="eastAsia" w:ascii="宋体" w:hAnsi="宋体" w:eastAsia="宋体" w:cs="宋体"/>
          <w:b/>
          <w:bCs/>
          <w:color w:val="000000"/>
          <w:sz w:val="24"/>
          <w:szCs w:val="24"/>
        </w:rPr>
      </w:pPr>
      <w:bookmarkStart w:id="1022" w:name="_Toc95223518"/>
      <w:bookmarkStart w:id="1023" w:name="_Toc19788"/>
      <w:r>
        <w:rPr>
          <w:rFonts w:hint="eastAsia" w:ascii="宋体" w:hAnsi="宋体" w:eastAsia="宋体" w:cs="宋体"/>
          <w:b/>
          <w:bCs/>
          <w:color w:val="000000"/>
          <w:sz w:val="24"/>
          <w:szCs w:val="24"/>
        </w:rPr>
        <w:t>3. 招标工程量清单编制要求</w:t>
      </w:r>
      <w:bookmarkEnd w:id="1022"/>
      <w:bookmarkEnd w:id="1023"/>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3.1 招标工程量清单编制依据如下：</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（1）2018版安徽省建设工程工程量清单计价办法；</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（2）《关于调整安徽省建设工程不可竞争费构成及计费标准的通知》（建标〔2021〕42号）； </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（3）建设工程设计文件及相关资料；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（4）与建设项目有关的标准、规范、技术资料；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（5）拟定的招标文件及其补充通知答疑纪要； </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（6）施工现场情况、地勘水文资料、工程特点及常规施工方案；</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（7）招标人对项目其他相关要求文件。</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3.2 招标工程量清单作为招标文件的组成部分，是编制最高投标限价、投标报价、计算工程量、调整合同价款、办理工程竣工结算以及工程索赔等的依据。</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3.3 投标人在投标报价过程中有责任和义务对招标人提供的工程量清单进行分析和核对,发现问题应按招标文件要求以书面形式告知招标人。</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3.4 工程量清单由分部分项工程量清单、措施项目清单、不可竞争项目清单、其他项目清单、税金项目清单组成。采用统一格式和表格，具体构成内容见“工程量清单”。</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3.5 分部分项工程量清单项目特征是结合本工程项目的实际情况予以描述的，对清单项目的技术和质量有要求的，见招标文件技术部分。措施项目清单中通用部分遵循计价规范编制，专业工程措施项目按规定和工程实际情况确定。</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3.6 招标工程量清单编制范围应与招标文件中明确的工程招标范围一致。工程量清单的组成内容应当完整、项目特征描述应准确全面，与施工图纸保持一致。</w:t>
      </w:r>
    </w:p>
    <w:p>
      <w:pPr>
        <w:keepNext/>
        <w:keepLines/>
        <w:pageBreakBefore w:val="0"/>
        <w:widowControl w:val="0"/>
        <w:kinsoku/>
        <w:wordWrap/>
        <w:overflowPunct/>
        <w:topLinePunct w:val="0"/>
        <w:autoSpaceDE/>
        <w:autoSpaceDN/>
        <w:bidi w:val="0"/>
        <w:adjustRightInd w:val="0"/>
        <w:snapToGrid w:val="0"/>
        <w:spacing w:line="400" w:lineRule="exact"/>
        <w:textAlignment w:val="auto"/>
        <w:outlineLvl w:val="1"/>
        <w:rPr>
          <w:rFonts w:hint="eastAsia" w:ascii="宋体" w:hAnsi="宋体" w:eastAsia="宋体" w:cs="宋体"/>
          <w:b/>
          <w:bCs/>
          <w:color w:val="000000"/>
          <w:sz w:val="24"/>
          <w:szCs w:val="24"/>
        </w:rPr>
      </w:pPr>
      <w:bookmarkStart w:id="1024" w:name="_Toc95223519"/>
      <w:bookmarkStart w:id="1025" w:name="_Toc23910"/>
      <w:r>
        <w:rPr>
          <w:rFonts w:hint="eastAsia" w:ascii="宋体" w:hAnsi="宋体" w:eastAsia="宋体" w:cs="宋体"/>
          <w:b/>
          <w:bCs/>
          <w:color w:val="000000"/>
          <w:sz w:val="24"/>
          <w:szCs w:val="24"/>
        </w:rPr>
        <w:t>4. 最高投标限价编制要求</w:t>
      </w:r>
      <w:bookmarkEnd w:id="1024"/>
      <w:bookmarkEnd w:id="1025"/>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4.1 最高投标限价编制依据如下：</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（1）2018版安徽省建设工程费用定额；</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（2）2018版安徽省建设工程施工机械台班费用编制规则；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（3）2018版安徽省配套计价定额；</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（4）《关于调整安徽省建设工程不可竞争费构成及计费标准的通知》（建标〔2021〕42号）； </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（5）《关于发布《安徽省建设工程计价依据动态调整(第1期)》的公告》（安徽省住房和城乡建设厅公告第51号）</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（6）建设工程设计文件及相关资料；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（7）与建设项目有关的标准、规范、技术资料；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（8）招标文件及招标工程量清单及其补充通知答疑纪要； </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（9）施工现场情况、工程特点及常规施工方案；</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（10）工程造价管理机构发布的工程造价信息；</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（11）施工期间的风险因素；</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（12）其他相关材料。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4.2 最高投标限价为本次招标工程限定的最高投标限价，应当在工程所在地建设主管部门备案。最高投标限价不做上调或下浮。如最高投标限价超过批准的概算，招标人应将其报原概算审批部门审核。</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4.3 最高投标限价应采用工程单价计价，正确、全面地使用国家、省市标准、计价定额以及相关文件，成果文件质量应符合相关标准及规程的规定。最高投标限价包括分部分项工程费、措施项目费、不可竞争费、其他项目费和税金。</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4.4 分部分项工程费按本招标文件的分部分项工程量清单的特征描述及有关要求，结合第4.1款编制依据确定。</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（1）综合单价中人工和施工机械台班单价按省级和工程所在地的市级工程造价管理机构公布的单价计算；</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（2）综合单价中材料、工程设备单价按省级和工程所在地的市级工程造价管理机构公布的单价以及本招标文件规定的暂估价、市场调查价格计算；</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（3）本招标文件中列有材料、设备暂估价的，按暂估价计算；</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（4）综合单价中人工、材料和施工机械台班消耗量均按2018版安徽省定额消耗量计算；</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（5）综合单价中综合费费率按2018版安徽省建设工程计价依据；</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（6）综合单价中应包括招标文件约定的应由投标人承担的风险范围及其费用，风险按本招标文件第4.1款约定计算。</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4.5 措施项目费按本招标文件中的措施项目清单，根据拟定的招标文件和常规施工方案确定。对于施工机械设备的选型根据工程特点和施工条件，本着经济实用、先进高效的原则确定。措施项目费依据项目具体情况进行合理确定，复杂项目需按专家论证后的方案编制。</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4.6 不可竞争费（含安全文明施工费、</w:t>
      </w:r>
      <w:r>
        <w:rPr>
          <w:rFonts w:hint="eastAsia"/>
          <w:color w:val="000000"/>
        </w:rPr>
        <w:t>环境保护税</w:t>
      </w:r>
      <w:r>
        <w:rPr>
          <w:rFonts w:hint="eastAsia" w:ascii="宋体" w:hAnsi="宋体" w:cs="宋体"/>
          <w:color w:val="000000"/>
          <w:szCs w:val="21"/>
        </w:rPr>
        <w:t>）按本招标文件中的不可竞争项目清单编制确定。</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4.7 其他项目费用应按照下列规定计价:</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（1）暂列金额按招标工程量清单中列出的金额填写；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（2）专业工程暂估价按招标工程量清单中列出的金额填写；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（3）计日工按招标人列出项目和数量，结合第4.1款编制依据的要求确定综合单价并计算费用； </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（4）总承包服务费根据招标文件列出的内容和要求计算。</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4.8 税金（增值税）按税金项目清单，结合第4.1款编制依据的要求编制，不得降低标准。</w:t>
      </w:r>
    </w:p>
    <w:p>
      <w:pPr>
        <w:keepNext/>
        <w:keepLines/>
        <w:pageBreakBefore w:val="0"/>
        <w:widowControl w:val="0"/>
        <w:kinsoku/>
        <w:wordWrap/>
        <w:overflowPunct/>
        <w:topLinePunct w:val="0"/>
        <w:autoSpaceDE/>
        <w:autoSpaceDN/>
        <w:bidi w:val="0"/>
        <w:adjustRightInd w:val="0"/>
        <w:snapToGrid w:val="0"/>
        <w:spacing w:line="400" w:lineRule="exact"/>
        <w:textAlignment w:val="auto"/>
        <w:outlineLvl w:val="1"/>
        <w:rPr>
          <w:rFonts w:hint="eastAsia" w:ascii="宋体" w:hAnsi="宋体" w:eastAsia="宋体" w:cs="宋体"/>
          <w:b/>
          <w:bCs/>
          <w:color w:val="000000"/>
          <w:sz w:val="24"/>
          <w:szCs w:val="24"/>
        </w:rPr>
      </w:pPr>
      <w:bookmarkStart w:id="1026" w:name="_Toc4166"/>
      <w:bookmarkStart w:id="1027" w:name="_Toc95223520"/>
      <w:r>
        <w:rPr>
          <w:rFonts w:hint="eastAsia" w:ascii="宋体" w:hAnsi="宋体" w:eastAsia="宋体" w:cs="宋体"/>
          <w:b/>
          <w:bCs/>
          <w:color w:val="000000"/>
          <w:sz w:val="24"/>
          <w:szCs w:val="24"/>
        </w:rPr>
        <w:t>5. 投标报价参考编制要求</w:t>
      </w:r>
      <w:bookmarkEnd w:id="1026"/>
      <w:bookmarkEnd w:id="1027"/>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5.1 投标报价编制参考依据如下：</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（1）2018版安徽省建设工程费用定额；</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（2）2018版安徽省建设工程施工机械台班费用编制规则；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（3）2018版安徽省配套计价定额；</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（4）《关于调整安徽省建设工程不可竞争费构成及计费标准的通知》（建标〔2021〕42号）； </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（5）《关于发布《安徽省建设工程计价依据动态调整(第1期)》的公告》（安徽省住房和城乡建设厅公告第51号）</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（6）建设工程设计文件及相关资料；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（7）与建设项目有关的标准、规范、技术资料；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（8）招标文件及招标工程量清单及其补充通知答疑纪要； </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（9）施工现场情况、工程特点及常规施工方案；</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（10）工程造价管理机构发布的工程造价信息；</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（11）施工期间的风险因素；</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（12）其他相关材料。</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5.2 投标人应仔细阅读招标文件，了解拟投标合同段的全部工程内容。投标人的投标报价应是招标文件所确定的招标范围内全部工程内容的价格体现，但其投标报价不得低于投标人个别成本价。</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5.3 投标人应按招标人提供的招标工程量清单填报综合单价和合价，未填报的综合单价和合价，视为此项费用已合在工程量清单的其他综合单价和合价中。</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5.4 分部分项工程费根据招标文件中的工程量清单项目及项目特征描述等确定综合单价。其中综合单价是指完成一个规定清单项目所需的人工费、材料和工程设备费、施工机具使用费和综合费（企业管理费和利润）以及一定范围内投标人承担的风险费用。</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5.5 措施项目费根据招标文件中的工程量清单措施项目，结合第5.1款编制依据确定。投标人对招标人所列的措施项目可根据工程实际情况结合施工组织设计进行增补。</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5.6 不可竞争费（含安全文明施工费、</w:t>
      </w:r>
      <w:r>
        <w:rPr>
          <w:rFonts w:hint="eastAsia"/>
          <w:color w:val="000000"/>
        </w:rPr>
        <w:t>环境保护税</w:t>
      </w:r>
      <w:r>
        <w:rPr>
          <w:rFonts w:hint="eastAsia" w:ascii="宋体" w:hAnsi="宋体" w:cs="宋体"/>
          <w:color w:val="000000"/>
          <w:szCs w:val="21"/>
        </w:rPr>
        <w:t>）根据工程量清单不可竞争项目，结合第5.1款编制依据确定，安全文明施工费费率不得调整。</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5.7 其他项目费用应按照下列规定计价:</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（1）暂列金额按招标工程量清单中列出的金额填写，不得更改；</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（2）专业工程暂估价按招标工程量清单中列出的金额填写，不得更改；</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（3）计日工按招标人列出项目和数量，结合第5.1款编制依据的要求确定综合单价并计算费用； </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（4）总承包服务费根据招标文件列出的内容和要求计算。</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5.8 税金（增值税）按税金项目清单，结合第5.1款编制依据的要求编制，不得调整。</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5.9 投标报价编制注意事项</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除可调整价格的主要材料和甲供材及实行暂估价的材料及设备以外，其他由投标人自行采购的材料确定投标报价时应充分考虑材料价格上涨等市场风险因素，中标后不作调整，综合单价中的材料费应包含材料运杂费、采保费等一切应有费用；</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（2）结算时实行暂估价的材料和设备的价差仅计取税金，不再计取其他费用；</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3）本招标工程的施工地点为本须知前附表所述，投标人应自行到施工现场踏勘以充分了解工地位置、情况、道路、储存空间、装卸限制及任何其他足以影响投标报价的情况，任何因忽视或误解施工场地情况而导致的索赔或工期延长申请将不被批准。对于受施工现场场地限制，如需要另外寻找场地解决临时住宿、材料及设备堆放，由此所产生的费用应包含在投标报价范围内，招标人不再承担该费用；</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4）开标前，投标人应认真对照施工设计图纸等文件核对招标人提供的工程量清单，发现工程量存在项目划分误差、计量单位误差、数量误差、遗漏项目的，必须在招标文件规定的时间内向招标人提出异议或修正要求，否则招标人可不予答复；</w:t>
      </w:r>
    </w:p>
    <w:p>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b/>
          <w:bCs/>
          <w:color w:val="000000"/>
          <w:szCs w:val="21"/>
        </w:rPr>
      </w:pPr>
      <w:r>
        <w:rPr>
          <w:rFonts w:hint="eastAsia" w:ascii="宋体" w:hAnsi="宋体" w:cs="宋体"/>
          <w:color w:val="000000"/>
          <w:szCs w:val="21"/>
        </w:rPr>
        <w:t>（5）招标人对异议或修正要求应进行核实，确认工程量单项子目误差在±3%（含±3%）以内的，招标人可不予调整工程量，投标人应将其误差考虑在综合单价内；若有遗漏项目或单项子目工</w:t>
      </w:r>
      <w:r>
        <w:rPr>
          <w:rFonts w:hint="eastAsia" w:ascii="宋体" w:hAnsi="宋体" w:cs="宋体"/>
          <w:b/>
          <w:bCs/>
          <w:color w:val="000000"/>
          <w:szCs w:val="21"/>
        </w:rPr>
        <w:t>程量误差超过±3%的，招标人应进行修正并重新公布准确的工程量清单；</w:t>
      </w:r>
    </w:p>
    <w:p>
      <w:pPr>
        <w:pageBreakBefore w:val="0"/>
        <w:widowControl w:val="0"/>
        <w:kinsoku/>
        <w:wordWrap/>
        <w:overflowPunct/>
        <w:topLinePunct w:val="0"/>
        <w:autoSpaceDE/>
        <w:autoSpaceDN/>
        <w:bidi w:val="0"/>
        <w:adjustRightInd w:val="0"/>
        <w:snapToGrid w:val="0"/>
        <w:spacing w:line="400" w:lineRule="exact"/>
        <w:ind w:firstLine="422" w:firstLineChars="200"/>
        <w:textAlignment w:val="auto"/>
        <w:rPr>
          <w:rFonts w:hint="eastAsia" w:ascii="宋体" w:hAnsi="宋体" w:cs="宋体"/>
          <w:b/>
          <w:bCs/>
          <w:color w:val="000000"/>
          <w:szCs w:val="21"/>
        </w:rPr>
      </w:pPr>
      <w:r>
        <w:rPr>
          <w:rFonts w:hint="eastAsia" w:ascii="宋体" w:hAnsi="宋体" w:cs="宋体"/>
          <w:b/>
          <w:bCs/>
          <w:color w:val="000000"/>
          <w:szCs w:val="21"/>
        </w:rPr>
        <w:t>（6） 除合同另有约定外，中标人在工程量清单报价书中所报的综合单价在施工图纸和合同约定范围一律不予调整；</w:t>
      </w:r>
    </w:p>
    <w:p>
      <w:pPr>
        <w:pageBreakBefore w:val="0"/>
        <w:widowControl w:val="0"/>
        <w:kinsoku/>
        <w:wordWrap/>
        <w:overflowPunct/>
        <w:topLinePunct w:val="0"/>
        <w:autoSpaceDE/>
        <w:autoSpaceDN/>
        <w:bidi w:val="0"/>
        <w:adjustRightInd w:val="0"/>
        <w:snapToGrid w:val="0"/>
        <w:spacing w:line="400" w:lineRule="exact"/>
        <w:ind w:firstLine="422" w:firstLineChars="200"/>
        <w:textAlignment w:val="auto"/>
        <w:rPr>
          <w:rFonts w:hint="eastAsia" w:ascii="宋体" w:hAnsi="宋体" w:cs="宋体"/>
          <w:b/>
          <w:bCs/>
          <w:color w:val="000000"/>
          <w:szCs w:val="21"/>
        </w:rPr>
      </w:pPr>
      <w:r>
        <w:rPr>
          <w:rFonts w:hint="eastAsia" w:ascii="宋体" w:hAnsi="宋体" w:cs="宋体"/>
          <w:b/>
          <w:bCs/>
          <w:color w:val="000000"/>
          <w:szCs w:val="21"/>
        </w:rPr>
        <w:t>（7）本招标工程不接受恶意不平衡报价，不保证最低价中标。</w:t>
      </w:r>
    </w:p>
    <w:p>
      <w:pPr>
        <w:keepNext/>
        <w:keepLines/>
        <w:pageBreakBefore w:val="0"/>
        <w:widowControl w:val="0"/>
        <w:kinsoku/>
        <w:wordWrap/>
        <w:overflowPunct/>
        <w:topLinePunct w:val="0"/>
        <w:autoSpaceDE/>
        <w:autoSpaceDN/>
        <w:bidi w:val="0"/>
        <w:adjustRightInd w:val="0"/>
        <w:snapToGrid w:val="0"/>
        <w:spacing w:line="400" w:lineRule="exact"/>
        <w:textAlignment w:val="auto"/>
        <w:outlineLvl w:val="1"/>
        <w:rPr>
          <w:rFonts w:hint="eastAsia" w:ascii="宋体" w:hAnsi="宋体" w:eastAsia="宋体" w:cs="宋体"/>
          <w:b/>
          <w:bCs/>
          <w:color w:val="000000"/>
          <w:sz w:val="24"/>
          <w:szCs w:val="24"/>
        </w:rPr>
      </w:pPr>
      <w:bookmarkStart w:id="1028" w:name="_Toc95223521"/>
      <w:bookmarkStart w:id="1029" w:name="_Toc4881"/>
      <w:r>
        <w:rPr>
          <w:rFonts w:hint="eastAsia" w:ascii="宋体" w:hAnsi="宋体" w:eastAsia="宋体" w:cs="宋体"/>
          <w:b/>
          <w:bCs/>
          <w:color w:val="000000"/>
          <w:sz w:val="24"/>
          <w:szCs w:val="24"/>
        </w:rPr>
        <w:t>6. 工程量清单</w:t>
      </w:r>
      <w:bookmarkEnd w:id="1028"/>
      <w:bookmarkEnd w:id="1029"/>
    </w:p>
    <w:p>
      <w:pPr>
        <w:pageBreakBefore w:val="0"/>
        <w:widowControl w:val="0"/>
        <w:kinsoku/>
        <w:wordWrap/>
        <w:overflowPunct/>
        <w:topLinePunct w:val="0"/>
        <w:autoSpaceDE/>
        <w:autoSpaceDN/>
        <w:bidi w:val="0"/>
        <w:adjustRightInd w:val="0"/>
        <w:snapToGrid w:val="0"/>
        <w:spacing w:line="400" w:lineRule="exact"/>
        <w:ind w:firstLine="840" w:firstLineChars="400"/>
        <w:textAlignment w:val="auto"/>
        <w:rPr>
          <w:rFonts w:hint="eastAsia" w:ascii="宋体" w:hAnsi="宋体" w:cs="宋体"/>
          <w:bCs/>
          <w:color w:val="000000"/>
          <w:kern w:val="44"/>
          <w:sz w:val="32"/>
          <w:szCs w:val="44"/>
        </w:rPr>
      </w:pPr>
      <w:r>
        <w:rPr>
          <w:rFonts w:hint="eastAsia" w:ascii="宋体" w:hAnsi="宋体" w:cs="宋体"/>
          <w:color w:val="000000"/>
          <w:szCs w:val="21"/>
        </w:rPr>
        <w:t>另册。</w:t>
      </w:r>
    </w:p>
    <w:p>
      <w:pPr>
        <w:rPr>
          <w:rFonts w:hint="eastAsia" w:ascii="宋体" w:hAnsi="宋体" w:cs="宋体"/>
          <w:b/>
          <w:color w:val="000000"/>
        </w:rPr>
      </w:pPr>
    </w:p>
    <w:p>
      <w:pPr>
        <w:adjustRightInd w:val="0"/>
        <w:snapToGrid w:val="0"/>
        <w:spacing w:line="360" w:lineRule="auto"/>
        <w:ind w:firstLine="420" w:firstLineChars="200"/>
        <w:rPr>
          <w:rFonts w:hint="eastAsia" w:ascii="宋体" w:hAnsi="宋体" w:cs="宋体"/>
          <w:color w:val="auto"/>
          <w:szCs w:val="21"/>
          <w:highlight w:val="none"/>
        </w:rPr>
      </w:pPr>
    </w:p>
    <w:p>
      <w:pPr>
        <w:rPr>
          <w:rFonts w:hint="eastAsia" w:eastAsia="宋体" w:cs="Times New Roman"/>
          <w:bCs/>
          <w:color w:val="0000FF"/>
          <w:szCs w:val="32"/>
          <w:highlight w:val="green"/>
        </w:rPr>
      </w:pPr>
      <w:bookmarkStart w:id="1030" w:name="_Toc20597"/>
      <w:bookmarkStart w:id="1031" w:name="_Toc25013"/>
    </w:p>
    <w:p>
      <w:pPr>
        <w:pStyle w:val="43"/>
        <w:numPr>
          <w:ilvl w:val="0"/>
          <w:numId w:val="6"/>
        </w:numPr>
        <w:spacing w:beforeLines="50" w:afterLines="50" w:line="440" w:lineRule="exact"/>
        <w:jc w:val="center"/>
        <w:rPr>
          <w:rFonts w:hint="eastAsia" w:eastAsia="宋体" w:cs="Times New Roman"/>
          <w:bCs/>
          <w:color w:val="auto"/>
          <w:szCs w:val="32"/>
          <w:highlight w:val="none"/>
        </w:rPr>
      </w:pPr>
      <w:r>
        <w:rPr>
          <w:rFonts w:hint="eastAsia" w:eastAsia="宋体" w:cs="Times New Roman"/>
          <w:bCs/>
          <w:color w:val="auto"/>
          <w:szCs w:val="32"/>
          <w:highlight w:val="none"/>
          <w:lang w:val="en-US" w:eastAsia="zh-CN"/>
        </w:rPr>
        <w:t>图纸</w:t>
      </w:r>
      <w:bookmarkEnd w:id="1030"/>
      <w:bookmarkEnd w:id="1031"/>
      <w:r>
        <w:rPr>
          <w:rFonts w:hint="eastAsia" w:cs="Times New Roman"/>
          <w:bCs/>
          <w:color w:val="auto"/>
          <w:szCs w:val="32"/>
          <w:highlight w:val="none"/>
          <w:lang w:val="en-US" w:eastAsia="zh-CN"/>
        </w:rPr>
        <w:t>及其他相关要求</w:t>
      </w:r>
    </w:p>
    <w:p>
      <w:pPr>
        <w:pStyle w:val="43"/>
        <w:numPr>
          <w:ilvl w:val="0"/>
          <w:numId w:val="0"/>
        </w:numPr>
        <w:spacing w:beforeLines="50" w:afterLines="50" w:line="440" w:lineRule="exact"/>
        <w:jc w:val="center"/>
        <w:rPr>
          <w:rFonts w:hint="default" w:eastAsia="宋体" w:cs="Times New Roman"/>
          <w:bCs/>
          <w:color w:val="auto"/>
          <w:szCs w:val="32"/>
          <w:highlight w:val="none"/>
          <w:lang w:val="en-US"/>
        </w:rPr>
      </w:pPr>
      <w:bookmarkStart w:id="1032" w:name="_Toc18733"/>
      <w:bookmarkStart w:id="1033" w:name="_Toc23816"/>
      <w:r>
        <w:rPr>
          <w:rFonts w:hint="eastAsia" w:eastAsia="宋体" w:cs="Times New Roman"/>
          <w:bCs/>
          <w:color w:val="auto"/>
          <w:szCs w:val="32"/>
          <w:highlight w:val="none"/>
          <w:lang w:val="en-US" w:eastAsia="zh-CN"/>
        </w:rPr>
        <w:t>另附</w:t>
      </w:r>
      <w:bookmarkEnd w:id="1032"/>
      <w:bookmarkEnd w:id="1033"/>
      <w:r>
        <w:rPr>
          <w:rFonts w:hint="eastAsia" w:cs="Times New Roman"/>
          <w:bCs/>
          <w:color w:val="auto"/>
          <w:szCs w:val="32"/>
          <w:highlight w:val="none"/>
          <w:lang w:val="en-US" w:eastAsia="zh-CN"/>
        </w:rPr>
        <w:t>，详见附件</w:t>
      </w:r>
    </w:p>
    <w:p>
      <w:pPr>
        <w:pStyle w:val="43"/>
        <w:numPr>
          <w:ilvl w:val="0"/>
          <w:numId w:val="0"/>
        </w:numPr>
        <w:spacing w:beforeLines="50" w:afterLines="50" w:line="440" w:lineRule="exact"/>
        <w:jc w:val="both"/>
        <w:rPr>
          <w:rFonts w:hint="eastAsia" w:eastAsia="宋体" w:cs="Times New Roman"/>
          <w:bCs/>
          <w:color w:val="auto"/>
          <w:szCs w:val="32"/>
          <w:highlight w:val="none"/>
        </w:rPr>
      </w:pPr>
    </w:p>
    <w:p>
      <w:pPr>
        <w:rPr>
          <w:rFonts w:hint="eastAsia"/>
          <w:bCs/>
          <w:color w:val="auto"/>
          <w:szCs w:val="32"/>
          <w:highlight w:val="none"/>
        </w:rPr>
      </w:pPr>
      <w:r>
        <w:rPr>
          <w:rFonts w:hint="eastAsia"/>
          <w:bCs/>
          <w:color w:val="auto"/>
          <w:szCs w:val="32"/>
          <w:highlight w:val="none"/>
        </w:rPr>
        <w:br w:type="page"/>
      </w:r>
    </w:p>
    <w:p>
      <w:pPr>
        <w:pStyle w:val="43"/>
        <w:spacing w:beforeLines="50" w:afterLines="50" w:line="440" w:lineRule="exact"/>
        <w:rPr>
          <w:rFonts w:hint="eastAsia"/>
          <w:bCs/>
          <w:color w:val="auto"/>
          <w:szCs w:val="32"/>
          <w:highlight w:val="none"/>
        </w:rPr>
      </w:pPr>
      <w:bookmarkStart w:id="1034" w:name="_Toc10062"/>
      <w:bookmarkStart w:id="1035" w:name="_Toc8272"/>
    </w:p>
    <w:p>
      <w:pPr>
        <w:pStyle w:val="43"/>
        <w:spacing w:beforeLines="50" w:afterLines="50" w:line="440" w:lineRule="exact"/>
        <w:rPr>
          <w:bCs/>
          <w:color w:val="auto"/>
          <w:szCs w:val="32"/>
          <w:highlight w:val="none"/>
        </w:rPr>
      </w:pPr>
      <w:r>
        <w:rPr>
          <w:rFonts w:hint="eastAsia"/>
          <w:bCs/>
          <w:color w:val="auto"/>
          <w:szCs w:val="32"/>
          <w:highlight w:val="none"/>
        </w:rPr>
        <w:t>第</w:t>
      </w:r>
      <w:r>
        <w:rPr>
          <w:rFonts w:hint="eastAsia"/>
          <w:bCs/>
          <w:color w:val="auto"/>
          <w:szCs w:val="32"/>
          <w:highlight w:val="none"/>
          <w:lang w:val="en-US" w:eastAsia="zh-CN"/>
        </w:rPr>
        <w:t>七</w:t>
      </w:r>
      <w:r>
        <w:rPr>
          <w:rFonts w:hint="eastAsia"/>
          <w:bCs/>
          <w:color w:val="auto"/>
          <w:szCs w:val="32"/>
          <w:highlight w:val="none"/>
        </w:rPr>
        <w:t>章  投标文件格式</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1034"/>
      <w:bookmarkEnd w:id="1035"/>
    </w:p>
    <w:p>
      <w:pPr>
        <w:rPr>
          <w:color w:val="auto"/>
          <w:highlight w:val="none"/>
        </w:rPr>
      </w:pPr>
    </w:p>
    <w:p>
      <w:pPr>
        <w:rPr>
          <w:color w:val="auto"/>
          <w:highlight w:val="none"/>
        </w:rPr>
      </w:pPr>
    </w:p>
    <w:p>
      <w:pPr>
        <w:rPr>
          <w:color w:val="auto"/>
          <w:highlight w:val="none"/>
        </w:rPr>
      </w:pPr>
    </w:p>
    <w:p>
      <w:pPr>
        <w:jc w:val="center"/>
        <w:rPr>
          <w:rFonts w:eastAsia="黑体"/>
          <w:color w:val="auto"/>
          <w:sz w:val="20"/>
          <w:szCs w:val="20"/>
          <w:highlight w:val="none"/>
        </w:rPr>
      </w:pPr>
      <w:r>
        <w:rPr>
          <w:rFonts w:eastAsia="黑体"/>
          <w:color w:val="auto"/>
          <w:sz w:val="28"/>
          <w:szCs w:val="28"/>
          <w:highlight w:val="none"/>
        </w:rPr>
        <w:t>（项目名称）</w:t>
      </w:r>
    </w:p>
    <w:p>
      <w:pPr>
        <w:jc w:val="center"/>
        <w:rPr>
          <w:rFonts w:eastAsia="黑体"/>
          <w:color w:val="auto"/>
          <w:sz w:val="20"/>
          <w:szCs w:val="20"/>
          <w:highlight w:val="none"/>
        </w:rPr>
      </w:pPr>
    </w:p>
    <w:p>
      <w:pPr>
        <w:jc w:val="center"/>
        <w:rPr>
          <w:rFonts w:eastAsia="黑体"/>
          <w:color w:val="auto"/>
          <w:sz w:val="20"/>
          <w:szCs w:val="20"/>
          <w:highlight w:val="none"/>
        </w:rPr>
      </w:pPr>
    </w:p>
    <w:p>
      <w:pPr>
        <w:jc w:val="center"/>
        <w:rPr>
          <w:rFonts w:eastAsia="黑体"/>
          <w:color w:val="auto"/>
          <w:sz w:val="20"/>
          <w:szCs w:val="20"/>
          <w:highlight w:val="none"/>
        </w:rPr>
      </w:pPr>
    </w:p>
    <w:p>
      <w:pPr>
        <w:rPr>
          <w:rFonts w:eastAsia="黑体"/>
          <w:color w:val="auto"/>
          <w:sz w:val="20"/>
          <w:szCs w:val="20"/>
          <w:highlight w:val="none"/>
        </w:rPr>
      </w:pPr>
    </w:p>
    <w:p>
      <w:pPr>
        <w:jc w:val="center"/>
        <w:rPr>
          <w:rFonts w:eastAsia="黑体"/>
          <w:color w:val="auto"/>
          <w:sz w:val="44"/>
          <w:szCs w:val="44"/>
          <w:highlight w:val="none"/>
        </w:rPr>
      </w:pPr>
      <w:r>
        <w:rPr>
          <w:rFonts w:eastAsia="黑体"/>
          <w:color w:val="auto"/>
          <w:sz w:val="44"/>
          <w:szCs w:val="44"/>
          <w:highlight w:val="none"/>
        </w:rPr>
        <w:t>投  标  文  件</w:t>
      </w:r>
      <w:r>
        <w:rPr>
          <w:rFonts w:hint="eastAsia" w:eastAsia="黑体"/>
          <w:color w:val="auto"/>
          <w:sz w:val="44"/>
          <w:szCs w:val="44"/>
          <w:highlight w:val="none"/>
        </w:rPr>
        <w:t xml:space="preserve"> 一</w:t>
      </w:r>
    </w:p>
    <w:p>
      <w:pPr>
        <w:jc w:val="center"/>
        <w:rPr>
          <w:rFonts w:eastAsia="黑体"/>
          <w:color w:val="auto"/>
          <w:sz w:val="44"/>
          <w:szCs w:val="44"/>
          <w:highlight w:val="none"/>
        </w:rPr>
      </w:pPr>
      <w:r>
        <w:rPr>
          <w:rFonts w:hint="eastAsia" w:eastAsia="黑体"/>
          <w:color w:val="auto"/>
          <w:sz w:val="44"/>
          <w:szCs w:val="44"/>
          <w:highlight w:val="none"/>
        </w:rPr>
        <w:t>（资信证明文件）</w:t>
      </w: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pStyle w:val="2"/>
        <w:ind w:firstLine="420"/>
        <w:rPr>
          <w:rFonts w:ascii="Times New Roman"/>
          <w:color w:val="auto"/>
          <w:szCs w:val="24"/>
          <w:highlight w:val="none"/>
        </w:rPr>
      </w:pPr>
    </w:p>
    <w:p>
      <w:pPr>
        <w:rPr>
          <w:rFonts w:ascii="Times New Roman"/>
          <w:color w:val="auto"/>
          <w:szCs w:val="24"/>
          <w:highlight w:val="none"/>
        </w:rPr>
      </w:pPr>
    </w:p>
    <w:p>
      <w:pPr>
        <w:pStyle w:val="2"/>
        <w:rPr>
          <w:rFonts w:ascii="Times New Roman"/>
          <w:color w:val="auto"/>
          <w:szCs w:val="24"/>
          <w:highlight w:val="none"/>
        </w:rPr>
      </w:pPr>
    </w:p>
    <w:p>
      <w:pPr>
        <w:rPr>
          <w:rFonts w:ascii="Times New Roman"/>
          <w:color w:val="auto"/>
          <w:szCs w:val="24"/>
          <w:highlight w:val="none"/>
        </w:rPr>
      </w:pPr>
    </w:p>
    <w:p>
      <w:pPr>
        <w:pStyle w:val="2"/>
        <w:rPr>
          <w:color w:val="auto"/>
          <w:highlight w:val="none"/>
        </w:rPr>
      </w:pPr>
    </w:p>
    <w:p>
      <w:pPr>
        <w:pStyle w:val="2"/>
        <w:ind w:firstLine="420"/>
        <w:rPr>
          <w:color w:val="auto"/>
          <w:highlight w:val="none"/>
        </w:rPr>
      </w:pPr>
    </w:p>
    <w:p>
      <w:pPr>
        <w:rPr>
          <w:rFonts w:eastAsia="黑体"/>
          <w:color w:val="auto"/>
          <w:sz w:val="28"/>
          <w:szCs w:val="28"/>
          <w:highlight w:val="none"/>
        </w:rPr>
      </w:pPr>
    </w:p>
    <w:p>
      <w:pPr>
        <w:rPr>
          <w:rFonts w:eastAsia="黑体"/>
          <w:color w:val="auto"/>
          <w:sz w:val="28"/>
          <w:szCs w:val="28"/>
          <w:highlight w:val="none"/>
        </w:rPr>
      </w:pPr>
    </w:p>
    <w:p>
      <w:pPr>
        <w:jc w:val="center"/>
        <w:rPr>
          <w:rFonts w:eastAsia="黑体"/>
          <w:color w:val="auto"/>
          <w:sz w:val="28"/>
          <w:szCs w:val="28"/>
          <w:highlight w:val="none"/>
          <w:u w:val="single"/>
        </w:rPr>
      </w:pPr>
      <w:r>
        <w:rPr>
          <w:rFonts w:hint="eastAsia" w:eastAsia="黑体"/>
          <w:color w:val="auto"/>
          <w:sz w:val="28"/>
          <w:szCs w:val="28"/>
          <w:highlight w:val="none"/>
        </w:rPr>
        <w:t xml:space="preserve"> 投标人</w:t>
      </w:r>
      <w:r>
        <w:rPr>
          <w:rFonts w:eastAsia="黑体"/>
          <w:color w:val="auto"/>
          <w:sz w:val="28"/>
          <w:szCs w:val="28"/>
          <w:highlight w:val="none"/>
        </w:rPr>
        <w:t>：</w:t>
      </w:r>
      <w:r>
        <w:rPr>
          <w:rFonts w:eastAsia="黑体"/>
          <w:color w:val="auto"/>
          <w:sz w:val="28"/>
          <w:szCs w:val="28"/>
          <w:highlight w:val="none"/>
          <w:u w:val="single"/>
        </w:rPr>
        <w:t xml:space="preserve">               </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r>
        <w:rPr>
          <w:rFonts w:eastAsia="黑体"/>
          <w:color w:val="auto"/>
          <w:sz w:val="28"/>
          <w:szCs w:val="28"/>
          <w:highlight w:val="none"/>
        </w:rPr>
        <w:t>（</w:t>
      </w:r>
      <w:r>
        <w:rPr>
          <w:rFonts w:hint="eastAsia" w:eastAsia="黑体"/>
          <w:color w:val="auto"/>
          <w:sz w:val="28"/>
          <w:szCs w:val="28"/>
          <w:highlight w:val="none"/>
        </w:rPr>
        <w:t>盖</w:t>
      </w:r>
      <w:r>
        <w:rPr>
          <w:rFonts w:eastAsia="黑体"/>
          <w:color w:val="auto"/>
          <w:sz w:val="28"/>
          <w:szCs w:val="28"/>
          <w:highlight w:val="none"/>
        </w:rPr>
        <w:t>章）</w:t>
      </w:r>
    </w:p>
    <w:p>
      <w:pPr>
        <w:jc w:val="center"/>
        <w:rPr>
          <w:rFonts w:eastAsia="黑体"/>
          <w:color w:val="auto"/>
          <w:sz w:val="28"/>
          <w:szCs w:val="28"/>
          <w:highlight w:val="none"/>
        </w:rPr>
      </w:pPr>
      <w:r>
        <w:rPr>
          <w:rFonts w:hint="eastAsia" w:eastAsia="黑体"/>
          <w:color w:val="auto"/>
          <w:sz w:val="28"/>
          <w:szCs w:val="28"/>
          <w:highlight w:val="none"/>
        </w:rPr>
        <w:t xml:space="preserve">   </w:t>
      </w:r>
      <w:r>
        <w:rPr>
          <w:rFonts w:eastAsia="黑体"/>
          <w:color w:val="auto"/>
          <w:sz w:val="28"/>
          <w:szCs w:val="28"/>
          <w:highlight w:val="none"/>
        </w:rPr>
        <w:t>法定代表人</w:t>
      </w:r>
      <w:r>
        <w:rPr>
          <w:rFonts w:hint="eastAsia" w:eastAsia="黑体"/>
          <w:color w:val="auto"/>
          <w:sz w:val="28"/>
          <w:szCs w:val="28"/>
          <w:highlight w:val="none"/>
          <w:lang w:val="en-US" w:eastAsia="zh-CN"/>
        </w:rPr>
        <w:t>或授权委托人</w:t>
      </w:r>
      <w:r>
        <w:rPr>
          <w:rFonts w:eastAsia="黑体"/>
          <w:color w:val="auto"/>
          <w:sz w:val="28"/>
          <w:szCs w:val="28"/>
          <w:highlight w:val="none"/>
        </w:rPr>
        <w:t>：</w:t>
      </w:r>
      <w:r>
        <w:rPr>
          <w:rFonts w:eastAsia="黑体"/>
          <w:color w:val="auto"/>
          <w:sz w:val="28"/>
          <w:szCs w:val="28"/>
          <w:highlight w:val="none"/>
          <w:u w:val="single"/>
        </w:rPr>
        <w:t xml:space="preserve">         </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r>
        <w:rPr>
          <w:rFonts w:eastAsia="黑体"/>
          <w:color w:val="auto"/>
          <w:sz w:val="28"/>
          <w:szCs w:val="28"/>
          <w:highlight w:val="none"/>
        </w:rPr>
        <w:t>（</w:t>
      </w:r>
      <w:r>
        <w:rPr>
          <w:rFonts w:hint="eastAsia" w:eastAsia="黑体"/>
          <w:color w:val="auto"/>
          <w:sz w:val="28"/>
          <w:szCs w:val="28"/>
          <w:highlight w:val="none"/>
        </w:rPr>
        <w:t>签字或盖章</w:t>
      </w:r>
      <w:r>
        <w:rPr>
          <w:rFonts w:eastAsia="黑体"/>
          <w:color w:val="auto"/>
          <w:sz w:val="28"/>
          <w:szCs w:val="28"/>
          <w:highlight w:val="none"/>
        </w:rPr>
        <w:t>）</w:t>
      </w:r>
    </w:p>
    <w:p>
      <w:pPr>
        <w:jc w:val="center"/>
        <w:rPr>
          <w:rFonts w:eastAsia="黑体"/>
          <w:color w:val="auto"/>
          <w:sz w:val="28"/>
          <w:szCs w:val="28"/>
          <w:highlight w:val="none"/>
        </w:rPr>
      </w:pPr>
      <w:r>
        <w:rPr>
          <w:rFonts w:hint="eastAsia" w:eastAsia="黑体"/>
          <w:color w:val="auto"/>
          <w:sz w:val="28"/>
          <w:szCs w:val="28"/>
          <w:highlight w:val="none"/>
          <w:u w:val="single"/>
        </w:rPr>
        <w:t xml:space="preserve">      </w:t>
      </w:r>
      <w:r>
        <w:rPr>
          <w:rFonts w:eastAsia="黑体"/>
          <w:color w:val="auto"/>
          <w:sz w:val="28"/>
          <w:szCs w:val="28"/>
          <w:highlight w:val="none"/>
        </w:rPr>
        <w:t>年</w:t>
      </w:r>
      <w:r>
        <w:rPr>
          <w:rFonts w:hint="eastAsia" w:eastAsia="黑体"/>
          <w:color w:val="auto"/>
          <w:sz w:val="28"/>
          <w:szCs w:val="28"/>
          <w:highlight w:val="none"/>
          <w:u w:val="single"/>
        </w:rPr>
        <w:t xml:space="preserve">     </w:t>
      </w:r>
      <w:r>
        <w:rPr>
          <w:rFonts w:eastAsia="黑体"/>
          <w:color w:val="auto"/>
          <w:sz w:val="28"/>
          <w:szCs w:val="28"/>
          <w:highlight w:val="none"/>
        </w:rPr>
        <w:t>月</w:t>
      </w:r>
      <w:r>
        <w:rPr>
          <w:rFonts w:hint="eastAsia" w:eastAsia="黑体"/>
          <w:color w:val="auto"/>
          <w:sz w:val="28"/>
          <w:szCs w:val="28"/>
          <w:highlight w:val="none"/>
          <w:u w:val="single"/>
        </w:rPr>
        <w:t xml:space="preserve">     </w:t>
      </w:r>
      <w:r>
        <w:rPr>
          <w:rFonts w:eastAsia="黑体"/>
          <w:color w:val="auto"/>
          <w:sz w:val="28"/>
          <w:szCs w:val="28"/>
          <w:highlight w:val="none"/>
        </w:rPr>
        <w:t>日</w:t>
      </w:r>
    </w:p>
    <w:p>
      <w:pPr>
        <w:rPr>
          <w:color w:val="auto"/>
          <w:highlight w:val="none"/>
        </w:rPr>
      </w:pPr>
      <w:bookmarkStart w:id="1036" w:name="_Toc35425137"/>
      <w:bookmarkStart w:id="1037" w:name="_Toc35424971"/>
      <w:bookmarkStart w:id="1038" w:name="_Toc12683"/>
    </w:p>
    <w:p>
      <w:pPr>
        <w:spacing w:beforeLines="50" w:afterLines="50" w:line="440" w:lineRule="exact"/>
        <w:ind w:firstLine="643" w:firstLineChars="200"/>
        <w:jc w:val="left"/>
        <w:rPr>
          <w:rFonts w:ascii="宋体" w:hAnsi="宋体" w:cs="宋体"/>
          <w:b/>
          <w:color w:val="auto"/>
          <w:sz w:val="28"/>
          <w:szCs w:val="28"/>
          <w:highlight w:val="none"/>
        </w:rPr>
      </w:pPr>
      <w:bookmarkStart w:id="1039" w:name="_Toc78803399"/>
      <w:r>
        <w:rPr>
          <w:rStyle w:val="65"/>
          <w:rFonts w:hint="eastAsia" w:ascii="宋体" w:hAnsi="宋体" w:cs="宋体"/>
          <w:color w:val="auto"/>
          <w:sz w:val="32"/>
          <w:highlight w:val="none"/>
        </w:rPr>
        <w:br w:type="page"/>
      </w:r>
      <w:bookmarkStart w:id="1040" w:name="_Toc30830"/>
      <w:bookmarkStart w:id="1041" w:name="_Toc32179"/>
      <w:r>
        <w:rPr>
          <w:rStyle w:val="65"/>
          <w:rFonts w:hint="eastAsia" w:ascii="宋体" w:hAnsi="宋体" w:cs="宋体"/>
          <w:color w:val="auto"/>
          <w:sz w:val="32"/>
          <w:highlight w:val="none"/>
        </w:rPr>
        <w:t>投标文件一</w:t>
      </w:r>
      <w:bookmarkEnd w:id="1036"/>
      <w:bookmarkEnd w:id="1037"/>
      <w:bookmarkEnd w:id="1038"/>
      <w:bookmarkEnd w:id="1039"/>
      <w:bookmarkEnd w:id="1040"/>
      <w:bookmarkEnd w:id="1041"/>
      <w:r>
        <w:rPr>
          <w:rFonts w:hint="eastAsia" w:ascii="宋体" w:hAnsi="宋体" w:cs="宋体"/>
          <w:b/>
          <w:color w:val="auto"/>
          <w:sz w:val="28"/>
          <w:szCs w:val="28"/>
          <w:highlight w:val="none"/>
        </w:rPr>
        <w:t>：资信证明文件目录</w:t>
      </w:r>
    </w:p>
    <w:p>
      <w:pPr>
        <w:spacing w:line="440" w:lineRule="exact"/>
        <w:ind w:right="-168" w:rightChars="-80"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（1）法定代表人身份证明和本人有效身份证(或法定代表人授权委托书和委托代理人有效身份证)；</w:t>
      </w:r>
    </w:p>
    <w:p>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（2）诚信投标承诺书；</w:t>
      </w:r>
    </w:p>
    <w:p>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（3）企业法人营业执照；</w:t>
      </w:r>
    </w:p>
    <w:p>
      <w:pPr>
        <w:spacing w:line="440" w:lineRule="exact"/>
        <w:ind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（4）</w:t>
      </w:r>
      <w:r>
        <w:rPr>
          <w:rFonts w:hint="eastAsia" w:ascii="宋体" w:hAnsi="宋体" w:cs="宋体"/>
          <w:color w:val="auto"/>
          <w:szCs w:val="21"/>
          <w:highlight w:val="none"/>
          <w:lang w:val="en-US" w:eastAsia="zh-CN"/>
        </w:rPr>
        <w:t>企业资质证书；</w:t>
      </w:r>
    </w:p>
    <w:p>
      <w:pPr>
        <w:spacing w:line="44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w:t>
      </w:r>
      <w:r>
        <w:rPr>
          <w:rFonts w:hint="eastAsia" w:ascii="宋体" w:hAnsi="宋体" w:cs="宋体"/>
          <w:color w:val="auto"/>
          <w:szCs w:val="21"/>
          <w:highlight w:val="none"/>
        </w:rPr>
        <w:t>企业安全生产许可证</w:t>
      </w:r>
      <w:r>
        <w:rPr>
          <w:rFonts w:hint="eastAsia" w:ascii="宋体" w:hAnsi="宋体" w:cs="宋体"/>
          <w:color w:val="auto"/>
          <w:szCs w:val="21"/>
          <w:highlight w:val="none"/>
          <w:lang w:eastAsia="zh-CN"/>
        </w:rPr>
        <w:t>；</w:t>
      </w:r>
    </w:p>
    <w:p>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lang w:eastAsia="zh-CN"/>
        </w:rPr>
        <w:t>）项目经理（建造师）有效身份证、注册证书以及安全生产考核合格证书（B证）</w:t>
      </w:r>
      <w:r>
        <w:rPr>
          <w:rFonts w:hint="eastAsia" w:ascii="宋体" w:hAnsi="宋体" w:cs="宋体"/>
          <w:color w:val="auto"/>
          <w:szCs w:val="21"/>
          <w:highlight w:val="none"/>
        </w:rPr>
        <w:t>；</w:t>
      </w:r>
    </w:p>
    <w:p>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投标人的法定代表人(或委托代理人)和拟任项目经理（建造师）须持有社保部门出具的本单位为其缴纳的投标前近三个月连续的养老保险证明（含官网在线打印件，证明文件两个月内有效）（同一人担任不同公司法定代表人的，该法定代表人参加本项目投标时须提供本人在其他公司任法定代表人的营业执照及为其缴纳养老保险证明材料），投标人是事业单位的，暂未缴纳养老保险的，须由其主管部门出具证明；</w:t>
      </w:r>
    </w:p>
    <w:p>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资信评分评审所需材料及</w:t>
      </w:r>
      <w:r>
        <w:rPr>
          <w:rFonts w:hint="eastAsia" w:ascii="宋体" w:hAnsi="宋体" w:cs="宋体"/>
          <w:color w:val="auto"/>
          <w:szCs w:val="21"/>
          <w:highlight w:val="none"/>
        </w:rPr>
        <w:t>投标人认为需要的其它证明材料。</w:t>
      </w:r>
    </w:p>
    <w:p>
      <w:pPr>
        <w:spacing w:line="360" w:lineRule="auto"/>
        <w:jc w:val="center"/>
        <w:rPr>
          <w:rFonts w:ascii="宋体"/>
          <w:b/>
          <w:color w:val="auto"/>
          <w:sz w:val="28"/>
          <w:szCs w:val="28"/>
          <w:highlight w:val="none"/>
        </w:rPr>
      </w:pPr>
      <w:r>
        <w:rPr>
          <w:rFonts w:hint="eastAsia"/>
          <w:b/>
          <w:color w:val="auto"/>
          <w:sz w:val="28"/>
          <w:szCs w:val="28"/>
          <w:highlight w:val="none"/>
        </w:rPr>
        <w:br w:type="page"/>
      </w:r>
      <w:r>
        <w:rPr>
          <w:rFonts w:hint="eastAsia"/>
          <w:b/>
          <w:color w:val="auto"/>
          <w:sz w:val="28"/>
          <w:szCs w:val="28"/>
          <w:highlight w:val="none"/>
        </w:rPr>
        <w:t>（1）法定代表人身份证明或授权委托书</w:t>
      </w:r>
    </w:p>
    <w:p>
      <w:pPr>
        <w:pStyle w:val="77"/>
        <w:keepNext w:val="0"/>
        <w:keepLines w:val="0"/>
        <w:pageBreakBefore w:val="0"/>
        <w:widowControl/>
        <w:kinsoku/>
        <w:wordWrap/>
        <w:overflowPunct/>
        <w:topLinePunct w:val="0"/>
        <w:autoSpaceDE/>
        <w:autoSpaceDN/>
        <w:bidi w:val="0"/>
        <w:adjustRightInd/>
        <w:snapToGrid/>
        <w:spacing w:before="157" w:beforeLines="50" w:after="157" w:afterLines="50" w:line="440" w:lineRule="exact"/>
        <w:textAlignment w:val="baseline"/>
        <w:rPr>
          <w:rFonts w:ascii="宋体"/>
          <w:b/>
          <w:color w:val="auto"/>
          <w:sz w:val="24"/>
          <w:szCs w:val="24"/>
          <w:highlight w:val="none"/>
        </w:rPr>
      </w:pPr>
      <w:bookmarkStart w:id="1042" w:name="_Toc506107356"/>
      <w:bookmarkStart w:id="1043" w:name="_Toc503196197"/>
      <w:bookmarkStart w:id="1044" w:name="_Toc26598"/>
      <w:r>
        <w:rPr>
          <w:rFonts w:hint="eastAsia" w:ascii="宋体"/>
          <w:color w:val="auto"/>
          <w:sz w:val="24"/>
          <w:szCs w:val="24"/>
          <w:highlight w:val="none"/>
        </w:rPr>
        <w:t>1、法定代表人身份证明</w:t>
      </w:r>
    </w:p>
    <w:p>
      <w:pPr>
        <w:keepNext w:val="0"/>
        <w:keepLines w:val="0"/>
        <w:pageBreakBefore w:val="0"/>
        <w:kinsoku/>
        <w:wordWrap/>
        <w:overflowPunct/>
        <w:topLinePunct w:val="0"/>
        <w:autoSpaceDE/>
        <w:autoSpaceDN/>
        <w:bidi w:val="0"/>
        <w:adjustRightInd/>
        <w:snapToGrid/>
        <w:spacing w:line="440" w:lineRule="exact"/>
        <w:rPr>
          <w:rFonts w:ascii="宋体"/>
          <w:color w:val="auto"/>
          <w:sz w:val="24"/>
          <w:highlight w:val="none"/>
        </w:rPr>
      </w:pPr>
      <w:r>
        <w:rPr>
          <w:rFonts w:hint="eastAsia" w:ascii="宋体"/>
          <w:color w:val="auto"/>
          <w:sz w:val="24"/>
          <w:highlight w:val="none"/>
        </w:rPr>
        <w:t>投标人名称：</w:t>
      </w:r>
      <w:r>
        <w:rPr>
          <w:rFonts w:hint="eastAsia" w:ascii="宋体"/>
          <w:color w:val="auto"/>
          <w:sz w:val="24"/>
          <w:highlight w:val="none"/>
          <w:u w:val="single"/>
        </w:rPr>
        <w:t xml:space="preserve">                            </w:t>
      </w:r>
    </w:p>
    <w:p>
      <w:pPr>
        <w:keepNext w:val="0"/>
        <w:keepLines w:val="0"/>
        <w:pageBreakBefore w:val="0"/>
        <w:kinsoku/>
        <w:wordWrap/>
        <w:overflowPunct/>
        <w:topLinePunct w:val="0"/>
        <w:autoSpaceDE/>
        <w:autoSpaceDN/>
        <w:bidi w:val="0"/>
        <w:adjustRightInd/>
        <w:snapToGrid/>
        <w:spacing w:line="440" w:lineRule="exact"/>
        <w:rPr>
          <w:rFonts w:ascii="宋体"/>
          <w:color w:val="auto"/>
          <w:sz w:val="24"/>
          <w:highlight w:val="none"/>
        </w:rPr>
      </w:pPr>
      <w:r>
        <w:rPr>
          <w:rFonts w:hint="eastAsia" w:ascii="宋体"/>
          <w:color w:val="auto"/>
          <w:sz w:val="24"/>
          <w:highlight w:val="none"/>
        </w:rPr>
        <w:t>单位性质：</w:t>
      </w:r>
      <w:r>
        <w:rPr>
          <w:rFonts w:hint="eastAsia" w:ascii="宋体"/>
          <w:color w:val="auto"/>
          <w:sz w:val="24"/>
          <w:highlight w:val="none"/>
          <w:u w:val="single"/>
        </w:rPr>
        <w:t xml:space="preserve">                              </w:t>
      </w:r>
    </w:p>
    <w:p>
      <w:pPr>
        <w:keepNext w:val="0"/>
        <w:keepLines w:val="0"/>
        <w:pageBreakBefore w:val="0"/>
        <w:kinsoku/>
        <w:wordWrap/>
        <w:overflowPunct/>
        <w:topLinePunct w:val="0"/>
        <w:autoSpaceDE/>
        <w:autoSpaceDN/>
        <w:bidi w:val="0"/>
        <w:adjustRightInd/>
        <w:snapToGrid/>
        <w:spacing w:line="440" w:lineRule="exact"/>
        <w:rPr>
          <w:rFonts w:ascii="宋体"/>
          <w:color w:val="auto"/>
          <w:sz w:val="24"/>
          <w:highlight w:val="none"/>
        </w:rPr>
      </w:pPr>
      <w:r>
        <w:rPr>
          <w:rFonts w:hint="eastAsia" w:ascii="宋体"/>
          <w:color w:val="auto"/>
          <w:sz w:val="24"/>
          <w:highlight w:val="none"/>
        </w:rPr>
        <w:t>地    址：</w:t>
      </w:r>
      <w:r>
        <w:rPr>
          <w:rFonts w:hint="eastAsia" w:ascii="宋体"/>
          <w:color w:val="auto"/>
          <w:sz w:val="24"/>
          <w:highlight w:val="none"/>
          <w:u w:val="single"/>
        </w:rPr>
        <w:t xml:space="preserve">                              </w:t>
      </w:r>
    </w:p>
    <w:p>
      <w:pPr>
        <w:keepNext w:val="0"/>
        <w:keepLines w:val="0"/>
        <w:pageBreakBefore w:val="0"/>
        <w:kinsoku/>
        <w:wordWrap/>
        <w:overflowPunct/>
        <w:topLinePunct w:val="0"/>
        <w:autoSpaceDE/>
        <w:autoSpaceDN/>
        <w:bidi w:val="0"/>
        <w:adjustRightInd/>
        <w:snapToGrid/>
        <w:spacing w:line="440" w:lineRule="exact"/>
        <w:rPr>
          <w:rFonts w:ascii="宋体"/>
          <w:color w:val="auto"/>
          <w:sz w:val="24"/>
          <w:highlight w:val="none"/>
        </w:rPr>
      </w:pPr>
      <w:r>
        <w:rPr>
          <w:rFonts w:hint="eastAsia" w:ascii="宋体"/>
          <w:color w:val="auto"/>
          <w:sz w:val="24"/>
          <w:highlight w:val="none"/>
        </w:rPr>
        <w:t>成立时间：</w:t>
      </w:r>
      <w:r>
        <w:rPr>
          <w:rFonts w:hint="eastAsia" w:ascii="宋体"/>
          <w:color w:val="auto"/>
          <w:sz w:val="24"/>
          <w:highlight w:val="none"/>
          <w:u w:val="single"/>
        </w:rPr>
        <w:t xml:space="preserve">     </w:t>
      </w:r>
      <w:r>
        <w:rPr>
          <w:rFonts w:hint="eastAsia" w:ascii="宋体"/>
          <w:color w:val="auto"/>
          <w:sz w:val="24"/>
          <w:highlight w:val="none"/>
        </w:rPr>
        <w:t>年</w:t>
      </w:r>
      <w:r>
        <w:rPr>
          <w:rFonts w:hint="eastAsia" w:ascii="宋体"/>
          <w:color w:val="auto"/>
          <w:sz w:val="24"/>
          <w:highlight w:val="none"/>
          <w:u w:val="single"/>
        </w:rPr>
        <w:t xml:space="preserve">   </w:t>
      </w:r>
      <w:r>
        <w:rPr>
          <w:rFonts w:hint="eastAsia" w:ascii="宋体"/>
          <w:color w:val="auto"/>
          <w:sz w:val="24"/>
          <w:highlight w:val="none"/>
        </w:rPr>
        <w:t>月</w:t>
      </w:r>
      <w:r>
        <w:rPr>
          <w:rFonts w:hint="eastAsia" w:ascii="宋体"/>
          <w:color w:val="auto"/>
          <w:sz w:val="24"/>
          <w:highlight w:val="none"/>
          <w:u w:val="single"/>
        </w:rPr>
        <w:t xml:space="preserve">   </w:t>
      </w:r>
      <w:r>
        <w:rPr>
          <w:rFonts w:hint="eastAsia" w:ascii="宋体"/>
          <w:color w:val="auto"/>
          <w:sz w:val="24"/>
          <w:highlight w:val="none"/>
        </w:rPr>
        <w:t>日</w:t>
      </w:r>
    </w:p>
    <w:p>
      <w:pPr>
        <w:keepNext w:val="0"/>
        <w:keepLines w:val="0"/>
        <w:pageBreakBefore w:val="0"/>
        <w:kinsoku/>
        <w:wordWrap/>
        <w:overflowPunct/>
        <w:topLinePunct w:val="0"/>
        <w:autoSpaceDE/>
        <w:autoSpaceDN/>
        <w:bidi w:val="0"/>
        <w:adjustRightInd/>
        <w:snapToGrid/>
        <w:spacing w:line="440" w:lineRule="exact"/>
        <w:rPr>
          <w:rFonts w:ascii="宋体"/>
          <w:color w:val="auto"/>
          <w:sz w:val="24"/>
          <w:highlight w:val="none"/>
        </w:rPr>
      </w:pPr>
      <w:r>
        <w:rPr>
          <w:rFonts w:hint="eastAsia" w:ascii="宋体"/>
          <w:color w:val="auto"/>
          <w:sz w:val="24"/>
          <w:highlight w:val="none"/>
        </w:rPr>
        <w:t>经营期限：</w:t>
      </w:r>
      <w:r>
        <w:rPr>
          <w:rFonts w:hint="eastAsia" w:ascii="宋体"/>
          <w:color w:val="auto"/>
          <w:sz w:val="24"/>
          <w:highlight w:val="none"/>
          <w:u w:val="single"/>
        </w:rPr>
        <w:t xml:space="preserve">                              </w:t>
      </w:r>
    </w:p>
    <w:p>
      <w:pPr>
        <w:keepNext w:val="0"/>
        <w:keepLines w:val="0"/>
        <w:pageBreakBefore w:val="0"/>
        <w:kinsoku/>
        <w:wordWrap/>
        <w:overflowPunct/>
        <w:topLinePunct w:val="0"/>
        <w:autoSpaceDE/>
        <w:autoSpaceDN/>
        <w:bidi w:val="0"/>
        <w:adjustRightInd/>
        <w:snapToGrid/>
        <w:spacing w:line="440" w:lineRule="exact"/>
        <w:jc w:val="left"/>
        <w:rPr>
          <w:rFonts w:ascii="宋体"/>
          <w:color w:val="auto"/>
          <w:sz w:val="24"/>
          <w:highlight w:val="none"/>
          <w:u w:val="single"/>
        </w:rPr>
      </w:pPr>
      <w:r>
        <w:rPr>
          <w:rFonts w:hint="eastAsia" w:ascii="宋体"/>
          <w:color w:val="auto"/>
          <w:spacing w:val="240"/>
          <w:sz w:val="24"/>
          <w:highlight w:val="none"/>
        </w:rPr>
        <w:t>姓</w:t>
      </w:r>
      <w:r>
        <w:rPr>
          <w:rFonts w:hint="eastAsia" w:ascii="宋体"/>
          <w:color w:val="auto"/>
          <w:sz w:val="24"/>
          <w:highlight w:val="none"/>
        </w:rPr>
        <w:t>名：</w:t>
      </w:r>
      <w:r>
        <w:rPr>
          <w:rFonts w:hint="eastAsia" w:ascii="宋体"/>
          <w:color w:val="auto"/>
          <w:sz w:val="24"/>
          <w:highlight w:val="none"/>
          <w:u w:val="single"/>
        </w:rPr>
        <w:t xml:space="preserve">     </w:t>
      </w:r>
      <w:r>
        <w:rPr>
          <w:rFonts w:hint="eastAsia" w:ascii="宋体"/>
          <w:color w:val="auto"/>
          <w:sz w:val="24"/>
          <w:highlight w:val="none"/>
        </w:rPr>
        <w:t>身份证号码：</w:t>
      </w:r>
      <w:r>
        <w:rPr>
          <w:rFonts w:hint="eastAsia" w:ascii="宋体"/>
          <w:color w:val="auto"/>
          <w:sz w:val="24"/>
          <w:highlight w:val="none"/>
          <w:u w:val="single"/>
        </w:rPr>
        <w:t xml:space="preserve">     </w:t>
      </w:r>
      <w:r>
        <w:rPr>
          <w:rFonts w:hint="eastAsia" w:ascii="宋体"/>
          <w:color w:val="auto"/>
          <w:sz w:val="24"/>
          <w:highlight w:val="none"/>
        </w:rPr>
        <w:t>性别</w:t>
      </w:r>
      <w:r>
        <w:rPr>
          <w:rFonts w:hint="eastAsia" w:ascii="宋体"/>
          <w:color w:val="auto"/>
          <w:sz w:val="24"/>
          <w:highlight w:val="none"/>
          <w:u w:val="single"/>
        </w:rPr>
        <w:t xml:space="preserve">：    </w:t>
      </w:r>
      <w:r>
        <w:rPr>
          <w:rFonts w:hint="eastAsia" w:ascii="宋体"/>
          <w:color w:val="auto"/>
          <w:sz w:val="24"/>
          <w:highlight w:val="none"/>
        </w:rPr>
        <w:t>年龄：</w:t>
      </w:r>
      <w:r>
        <w:rPr>
          <w:rFonts w:hint="eastAsia" w:ascii="宋体"/>
          <w:color w:val="auto"/>
          <w:sz w:val="24"/>
          <w:highlight w:val="none"/>
          <w:u w:val="single"/>
          <w:lang w:val="en-US" w:eastAsia="zh-CN"/>
        </w:rPr>
        <w:t xml:space="preserve"> </w:t>
      </w:r>
      <w:r>
        <w:rPr>
          <w:rFonts w:hint="eastAsia" w:ascii="宋体"/>
          <w:color w:val="auto"/>
          <w:sz w:val="24"/>
          <w:highlight w:val="none"/>
          <w:u w:val="single"/>
        </w:rPr>
        <w:t xml:space="preserve">  </w:t>
      </w:r>
      <w:r>
        <w:rPr>
          <w:rFonts w:hint="eastAsia" w:ascii="宋体"/>
          <w:color w:val="auto"/>
          <w:sz w:val="24"/>
          <w:highlight w:val="none"/>
        </w:rPr>
        <w:t>职务：</w:t>
      </w:r>
      <w:r>
        <w:rPr>
          <w:rFonts w:hint="eastAsia" w:ascii="宋体"/>
          <w:color w:val="auto"/>
          <w:sz w:val="24"/>
          <w:highlight w:val="none"/>
          <w:u w:val="single"/>
        </w:rPr>
        <w:t xml:space="preserve">     </w:t>
      </w:r>
      <w:r>
        <w:rPr>
          <w:rFonts w:hint="eastAsia" w:ascii="宋体"/>
          <w:color w:val="auto"/>
          <w:sz w:val="24"/>
          <w:highlight w:val="none"/>
        </w:rPr>
        <w:t>，系</w:t>
      </w:r>
      <w:r>
        <w:rPr>
          <w:rFonts w:hint="eastAsia" w:ascii="宋体"/>
          <w:color w:val="auto"/>
          <w:sz w:val="24"/>
          <w:highlight w:val="none"/>
          <w:u w:val="single"/>
        </w:rPr>
        <w:t xml:space="preserve">     （投标人名称）</w:t>
      </w:r>
      <w:r>
        <w:rPr>
          <w:rFonts w:hint="eastAsia" w:ascii="宋体"/>
          <w:color w:val="auto"/>
          <w:sz w:val="24"/>
          <w:highlight w:val="none"/>
        </w:rPr>
        <w:t>的法定代表人。</w:t>
      </w:r>
    </w:p>
    <w:p>
      <w:pPr>
        <w:keepNext w:val="0"/>
        <w:keepLines w:val="0"/>
        <w:pageBreakBefore w:val="0"/>
        <w:kinsoku/>
        <w:wordWrap/>
        <w:overflowPunct/>
        <w:topLinePunct w:val="0"/>
        <w:autoSpaceDE/>
        <w:autoSpaceDN/>
        <w:bidi w:val="0"/>
        <w:adjustRightInd/>
        <w:snapToGrid/>
        <w:spacing w:line="440" w:lineRule="exact"/>
        <w:rPr>
          <w:rFonts w:ascii="宋体"/>
          <w:color w:val="auto"/>
          <w:sz w:val="24"/>
          <w:highlight w:val="none"/>
        </w:rPr>
      </w:pPr>
      <w:r>
        <w:rPr>
          <w:rFonts w:hint="eastAsia" w:ascii="宋体"/>
          <w:color w:val="auto"/>
          <w:sz w:val="24"/>
          <w:highlight w:val="none"/>
        </w:rPr>
        <w:t>特此证明。</w:t>
      </w:r>
    </w:p>
    <w:p>
      <w:pPr>
        <w:keepNext w:val="0"/>
        <w:keepLines w:val="0"/>
        <w:pageBreakBefore w:val="0"/>
        <w:kinsoku/>
        <w:wordWrap/>
        <w:overflowPunct/>
        <w:topLinePunct w:val="0"/>
        <w:autoSpaceDE/>
        <w:autoSpaceDN/>
        <w:bidi w:val="0"/>
        <w:adjustRightInd/>
        <w:snapToGrid/>
        <w:spacing w:line="440" w:lineRule="exact"/>
        <w:ind w:firstLine="3720" w:firstLineChars="1550"/>
        <w:rPr>
          <w:rFonts w:ascii="宋体"/>
          <w:color w:val="auto"/>
          <w:sz w:val="24"/>
          <w:highlight w:val="none"/>
        </w:rPr>
      </w:pPr>
      <w:r>
        <w:rPr>
          <w:rFonts w:hint="eastAsia" w:ascii="宋体"/>
          <w:color w:val="auto"/>
          <w:sz w:val="24"/>
          <w:highlight w:val="none"/>
        </w:rPr>
        <w:t>投标人：</w:t>
      </w:r>
      <w:r>
        <w:rPr>
          <w:rFonts w:hint="eastAsia" w:ascii="宋体"/>
          <w:color w:val="auto"/>
          <w:sz w:val="24"/>
          <w:highlight w:val="none"/>
          <w:u w:val="single"/>
        </w:rPr>
        <w:t xml:space="preserve">            （</w:t>
      </w:r>
      <w:r>
        <w:rPr>
          <w:rFonts w:hint="eastAsia" w:ascii="宋体"/>
          <w:color w:val="auto"/>
          <w:sz w:val="24"/>
          <w:highlight w:val="none"/>
          <w:u w:val="single"/>
          <w:lang w:val="en-US" w:eastAsia="zh-CN"/>
        </w:rPr>
        <w:t>盖</w:t>
      </w:r>
      <w:r>
        <w:rPr>
          <w:rFonts w:hint="eastAsia" w:ascii="宋体"/>
          <w:color w:val="auto"/>
          <w:sz w:val="24"/>
          <w:highlight w:val="none"/>
          <w:u w:val="single"/>
        </w:rPr>
        <w:t>章）</w:t>
      </w:r>
    </w:p>
    <w:p>
      <w:pPr>
        <w:keepNext w:val="0"/>
        <w:keepLines w:val="0"/>
        <w:pageBreakBefore w:val="0"/>
        <w:kinsoku/>
        <w:wordWrap/>
        <w:overflowPunct/>
        <w:topLinePunct w:val="0"/>
        <w:autoSpaceDE/>
        <w:autoSpaceDN/>
        <w:bidi w:val="0"/>
        <w:adjustRightInd/>
        <w:snapToGrid/>
        <w:spacing w:line="440" w:lineRule="exact"/>
        <w:rPr>
          <w:rFonts w:ascii="宋体"/>
          <w:color w:val="auto"/>
          <w:sz w:val="24"/>
          <w:highlight w:val="none"/>
        </w:rPr>
      </w:pPr>
      <w:r>
        <w:rPr>
          <w:rFonts w:hint="eastAsia" w:ascii="宋体"/>
          <w:color w:val="auto"/>
          <w:sz w:val="24"/>
          <w:highlight w:val="none"/>
        </w:rPr>
        <w:t xml:space="preserve">                                        年    月     日</w:t>
      </w:r>
    </w:p>
    <w:p>
      <w:pPr>
        <w:keepNext w:val="0"/>
        <w:keepLines w:val="0"/>
        <w:pageBreakBefore w:val="0"/>
        <w:widowControl w:val="0"/>
        <w:kinsoku/>
        <w:wordWrap/>
        <w:overflowPunct/>
        <w:topLinePunct w:val="0"/>
        <w:autoSpaceDE/>
        <w:autoSpaceDN/>
        <w:bidi w:val="0"/>
        <w:adjustRightInd/>
        <w:snapToGrid/>
        <w:spacing w:line="240" w:lineRule="atLeast"/>
        <w:textAlignment w:val="auto"/>
        <w:rPr>
          <w:color w:val="auto"/>
          <w:highlight w:val="none"/>
        </w:rPr>
      </w:pPr>
    </w:p>
    <w:p>
      <w:pPr>
        <w:pStyle w:val="77"/>
        <w:keepNext w:val="0"/>
        <w:keepLines w:val="0"/>
        <w:pageBreakBefore w:val="0"/>
        <w:widowControl/>
        <w:kinsoku/>
        <w:wordWrap/>
        <w:overflowPunct/>
        <w:topLinePunct w:val="0"/>
        <w:autoSpaceDE/>
        <w:autoSpaceDN/>
        <w:bidi w:val="0"/>
        <w:adjustRightInd/>
        <w:snapToGrid/>
        <w:spacing w:before="157" w:beforeLines="50" w:after="157" w:afterLines="50" w:line="440" w:lineRule="exact"/>
        <w:textAlignment w:val="baseline"/>
        <w:rPr>
          <w:rFonts w:ascii="宋体"/>
          <w:color w:val="auto"/>
          <w:sz w:val="24"/>
          <w:szCs w:val="24"/>
          <w:highlight w:val="none"/>
        </w:rPr>
      </w:pPr>
      <w:r>
        <w:rPr>
          <w:rFonts w:hint="eastAsia" w:ascii="宋体"/>
          <w:color w:val="auto"/>
          <w:sz w:val="24"/>
          <w:szCs w:val="24"/>
          <w:highlight w:val="none"/>
        </w:rPr>
        <w:t>或1、授权委托书</w:t>
      </w:r>
    </w:p>
    <w:p>
      <w:pPr>
        <w:keepNext w:val="0"/>
        <w:keepLines w:val="0"/>
        <w:pageBreakBefore w:val="0"/>
        <w:kinsoku/>
        <w:wordWrap/>
        <w:overflowPunct/>
        <w:topLinePunct w:val="0"/>
        <w:autoSpaceDE/>
        <w:autoSpaceDN/>
        <w:bidi w:val="0"/>
        <w:adjustRightInd/>
        <w:snapToGrid/>
        <w:spacing w:line="440" w:lineRule="exact"/>
        <w:ind w:firstLine="480" w:firstLineChars="200"/>
        <w:jc w:val="left"/>
        <w:rPr>
          <w:rFonts w:ascii="宋体"/>
          <w:color w:val="auto"/>
          <w:sz w:val="24"/>
          <w:highlight w:val="none"/>
        </w:rPr>
      </w:pPr>
      <w:r>
        <w:rPr>
          <w:rFonts w:hint="eastAsia" w:ascii="宋体"/>
          <w:color w:val="auto"/>
          <w:sz w:val="24"/>
          <w:highlight w:val="none"/>
        </w:rPr>
        <w:t>本人</w:t>
      </w:r>
      <w:r>
        <w:rPr>
          <w:rFonts w:hint="eastAsia" w:ascii="宋体"/>
          <w:color w:val="auto"/>
          <w:sz w:val="24"/>
          <w:highlight w:val="none"/>
          <w:u w:val="single"/>
        </w:rPr>
        <w:t xml:space="preserve"> （姓名）</w:t>
      </w:r>
      <w:r>
        <w:rPr>
          <w:rFonts w:hint="eastAsia" w:ascii="宋体"/>
          <w:color w:val="auto"/>
          <w:sz w:val="24"/>
          <w:highlight w:val="none"/>
        </w:rPr>
        <w:t>系</w:t>
      </w:r>
      <w:r>
        <w:rPr>
          <w:rFonts w:hint="eastAsia" w:ascii="宋体"/>
          <w:color w:val="auto"/>
          <w:sz w:val="24"/>
          <w:highlight w:val="none"/>
          <w:u w:val="single"/>
        </w:rPr>
        <w:t>（投标人）</w:t>
      </w:r>
      <w:r>
        <w:rPr>
          <w:rFonts w:hint="eastAsia" w:ascii="宋体"/>
          <w:color w:val="auto"/>
          <w:sz w:val="24"/>
          <w:highlight w:val="none"/>
        </w:rPr>
        <w:t>的法定代表人，现委托</w:t>
      </w:r>
      <w:r>
        <w:rPr>
          <w:rFonts w:hint="eastAsia" w:ascii="宋体"/>
          <w:color w:val="auto"/>
          <w:sz w:val="24"/>
          <w:highlight w:val="none"/>
          <w:u w:val="single"/>
        </w:rPr>
        <w:t>（姓名）</w:t>
      </w:r>
      <w:r>
        <w:rPr>
          <w:rFonts w:hint="eastAsia" w:ascii="宋体"/>
          <w:color w:val="auto"/>
          <w:sz w:val="24"/>
          <w:highlight w:val="none"/>
        </w:rPr>
        <w:t>为我方代理人。代理人根据授权，以我方名义签署、澄清、说明、补正、递交、撤回、修改</w:t>
      </w:r>
      <w:r>
        <w:rPr>
          <w:rFonts w:hint="eastAsia" w:ascii="宋体"/>
          <w:color w:val="auto"/>
          <w:sz w:val="24"/>
          <w:highlight w:val="none"/>
          <w:u w:val="single"/>
        </w:rPr>
        <w:t xml:space="preserve"> “   ”(项目名称）</w:t>
      </w:r>
      <w:r>
        <w:rPr>
          <w:rFonts w:hint="eastAsia" w:ascii="宋体"/>
          <w:color w:val="auto"/>
          <w:sz w:val="24"/>
          <w:highlight w:val="none"/>
        </w:rPr>
        <w:t>投标文件，全权处理与该项目投标、评审答疑、签订合同以及与合同执行有关的一切事务，其法律后果由我方承担。</w:t>
      </w:r>
    </w:p>
    <w:p>
      <w:pPr>
        <w:keepNext w:val="0"/>
        <w:keepLines w:val="0"/>
        <w:pageBreakBefore w:val="0"/>
        <w:kinsoku/>
        <w:wordWrap/>
        <w:overflowPunct/>
        <w:topLinePunct w:val="0"/>
        <w:autoSpaceDE/>
        <w:autoSpaceDN/>
        <w:bidi w:val="0"/>
        <w:adjustRightInd/>
        <w:snapToGrid/>
        <w:spacing w:line="440" w:lineRule="exact"/>
        <w:ind w:firstLine="480" w:firstLineChars="200"/>
        <w:rPr>
          <w:rFonts w:ascii="宋体"/>
          <w:color w:val="auto"/>
          <w:sz w:val="24"/>
          <w:highlight w:val="none"/>
        </w:rPr>
      </w:pPr>
      <w:r>
        <w:rPr>
          <w:rFonts w:hint="eastAsia" w:ascii="宋体"/>
          <w:color w:val="auto"/>
          <w:sz w:val="24"/>
          <w:highlight w:val="none"/>
        </w:rPr>
        <w:t>委托期限：</w:t>
      </w:r>
      <w:r>
        <w:rPr>
          <w:rFonts w:hint="eastAsia" w:ascii="宋体"/>
          <w:color w:val="auto"/>
          <w:sz w:val="24"/>
          <w:highlight w:val="none"/>
          <w:u w:val="single"/>
          <w:lang w:val="en-US" w:eastAsia="zh-CN"/>
        </w:rPr>
        <w:t xml:space="preserve">              </w:t>
      </w:r>
      <w:r>
        <w:rPr>
          <w:rFonts w:hint="eastAsia" w:ascii="宋体" w:cs="宋体"/>
          <w:color w:val="auto"/>
          <w:sz w:val="24"/>
          <w:highlight w:val="none"/>
        </w:rPr>
        <w:t>。</w:t>
      </w:r>
    </w:p>
    <w:p>
      <w:pPr>
        <w:keepNext w:val="0"/>
        <w:keepLines w:val="0"/>
        <w:pageBreakBefore w:val="0"/>
        <w:kinsoku/>
        <w:wordWrap/>
        <w:overflowPunct/>
        <w:topLinePunct w:val="0"/>
        <w:autoSpaceDE/>
        <w:autoSpaceDN/>
        <w:bidi w:val="0"/>
        <w:adjustRightInd/>
        <w:snapToGrid/>
        <w:spacing w:line="440" w:lineRule="exact"/>
        <w:ind w:firstLine="480" w:firstLineChars="200"/>
        <w:rPr>
          <w:rFonts w:ascii="宋体"/>
          <w:color w:val="auto"/>
          <w:sz w:val="24"/>
          <w:highlight w:val="none"/>
        </w:rPr>
      </w:pPr>
      <w:r>
        <w:rPr>
          <w:rFonts w:hint="eastAsia" w:ascii="宋体"/>
          <w:color w:val="auto"/>
          <w:sz w:val="24"/>
          <w:highlight w:val="none"/>
        </w:rPr>
        <w:t>代理人无转委托权。</w:t>
      </w:r>
    </w:p>
    <w:p>
      <w:pPr>
        <w:keepNext w:val="0"/>
        <w:keepLines w:val="0"/>
        <w:pageBreakBefore w:val="0"/>
        <w:kinsoku/>
        <w:wordWrap/>
        <w:overflowPunct/>
        <w:topLinePunct w:val="0"/>
        <w:autoSpaceDE/>
        <w:autoSpaceDN/>
        <w:bidi w:val="0"/>
        <w:adjustRightInd/>
        <w:snapToGrid/>
        <w:spacing w:line="440" w:lineRule="exact"/>
        <w:ind w:firstLine="480" w:firstLineChars="200"/>
        <w:rPr>
          <w:rFonts w:ascii="宋体"/>
          <w:b/>
          <w:color w:val="auto"/>
          <w:sz w:val="24"/>
          <w:highlight w:val="none"/>
        </w:rPr>
      </w:pPr>
      <w:r>
        <w:rPr>
          <w:rFonts w:hint="eastAsia" w:ascii="宋体"/>
          <w:color w:val="auto"/>
          <w:sz w:val="24"/>
          <w:highlight w:val="none"/>
        </w:rPr>
        <w:t>附：</w:t>
      </w:r>
      <w:r>
        <w:rPr>
          <w:rFonts w:hint="eastAsia" w:ascii="宋体"/>
          <w:b/>
          <w:color w:val="auto"/>
          <w:sz w:val="24"/>
          <w:highlight w:val="none"/>
        </w:rPr>
        <w:t>委托代理人有效身份证扫描件</w:t>
      </w:r>
    </w:p>
    <w:p>
      <w:pPr>
        <w:keepNext w:val="0"/>
        <w:keepLines w:val="0"/>
        <w:pageBreakBefore w:val="0"/>
        <w:kinsoku/>
        <w:wordWrap/>
        <w:overflowPunct/>
        <w:topLinePunct w:val="0"/>
        <w:autoSpaceDE/>
        <w:autoSpaceDN/>
        <w:bidi w:val="0"/>
        <w:adjustRightInd/>
        <w:snapToGrid/>
        <w:spacing w:line="440" w:lineRule="exact"/>
        <w:ind w:firstLine="964" w:firstLineChars="400"/>
        <w:rPr>
          <w:rFonts w:ascii="宋体"/>
          <w:b/>
          <w:color w:val="auto"/>
          <w:sz w:val="24"/>
          <w:highlight w:val="none"/>
        </w:rPr>
      </w:pPr>
      <w:r>
        <w:rPr>
          <w:rFonts w:hint="eastAsia" w:ascii="宋体"/>
          <w:b/>
          <w:color w:val="auto"/>
          <w:sz w:val="24"/>
          <w:highlight w:val="none"/>
        </w:rPr>
        <w:t>法定代表人有效身份证扫描件</w:t>
      </w:r>
    </w:p>
    <w:p>
      <w:pPr>
        <w:keepNext w:val="0"/>
        <w:keepLines w:val="0"/>
        <w:pageBreakBefore w:val="0"/>
        <w:kinsoku/>
        <w:wordWrap/>
        <w:overflowPunct/>
        <w:topLinePunct w:val="0"/>
        <w:autoSpaceDE/>
        <w:autoSpaceDN/>
        <w:bidi w:val="0"/>
        <w:adjustRightInd/>
        <w:snapToGrid/>
        <w:spacing w:line="440" w:lineRule="exact"/>
        <w:ind w:firstLine="833" w:firstLineChars="397"/>
        <w:rPr>
          <w:color w:val="auto"/>
          <w:highlight w:val="none"/>
        </w:rPr>
      </w:pPr>
    </w:p>
    <w:p>
      <w:pPr>
        <w:keepNext w:val="0"/>
        <w:keepLines w:val="0"/>
        <w:pageBreakBefore w:val="0"/>
        <w:kinsoku/>
        <w:wordWrap/>
        <w:overflowPunct/>
        <w:topLinePunct w:val="0"/>
        <w:autoSpaceDE/>
        <w:autoSpaceDN/>
        <w:bidi w:val="0"/>
        <w:adjustRightInd/>
        <w:snapToGrid/>
        <w:spacing w:line="440" w:lineRule="exact"/>
        <w:ind w:firstLine="3720" w:firstLineChars="1550"/>
        <w:rPr>
          <w:rFonts w:hint="eastAsia" w:ascii="宋体" w:hAnsi="Times New Roman" w:eastAsia="宋体" w:cs="Times New Roman"/>
          <w:color w:val="auto"/>
          <w:sz w:val="24"/>
          <w:highlight w:val="none"/>
        </w:rPr>
      </w:pPr>
      <w:r>
        <w:rPr>
          <w:rFonts w:hint="eastAsia" w:ascii="宋体" w:hAnsi="Times New Roman" w:eastAsia="宋体" w:cs="Times New Roman"/>
          <w:color w:val="auto"/>
          <w:sz w:val="24"/>
          <w:highlight w:val="none"/>
        </w:rPr>
        <w:t xml:space="preserve"> 投标人（盖章）：</w:t>
      </w:r>
    </w:p>
    <w:p>
      <w:pPr>
        <w:keepNext w:val="0"/>
        <w:keepLines w:val="0"/>
        <w:pageBreakBefore w:val="0"/>
        <w:kinsoku/>
        <w:wordWrap/>
        <w:overflowPunct/>
        <w:topLinePunct w:val="0"/>
        <w:autoSpaceDE/>
        <w:autoSpaceDN/>
        <w:bidi w:val="0"/>
        <w:adjustRightInd/>
        <w:snapToGrid/>
        <w:spacing w:line="440" w:lineRule="exact"/>
        <w:ind w:firstLine="3720" w:firstLineChars="1550"/>
        <w:rPr>
          <w:rFonts w:hint="eastAsia" w:ascii="宋体" w:hAnsi="Times New Roman" w:eastAsia="宋体" w:cs="Times New Roman"/>
          <w:color w:val="auto"/>
          <w:sz w:val="24"/>
          <w:highlight w:val="none"/>
        </w:rPr>
      </w:pPr>
      <w:r>
        <w:rPr>
          <w:rFonts w:hint="eastAsia" w:ascii="宋体" w:hAnsi="Times New Roman" w:eastAsia="宋体" w:cs="Times New Roman"/>
          <w:color w:val="auto"/>
          <w:sz w:val="24"/>
          <w:highlight w:val="none"/>
        </w:rPr>
        <w:t>法定代表人（身份证号码）：    （签字或盖章）</w:t>
      </w:r>
    </w:p>
    <w:p>
      <w:pPr>
        <w:keepNext w:val="0"/>
        <w:keepLines w:val="0"/>
        <w:pageBreakBefore w:val="0"/>
        <w:kinsoku/>
        <w:wordWrap/>
        <w:overflowPunct/>
        <w:topLinePunct w:val="0"/>
        <w:autoSpaceDE/>
        <w:autoSpaceDN/>
        <w:bidi w:val="0"/>
        <w:adjustRightInd/>
        <w:snapToGrid/>
        <w:spacing w:line="440" w:lineRule="exact"/>
        <w:ind w:firstLine="5640" w:firstLineChars="2350"/>
        <w:rPr>
          <w:rFonts w:hint="eastAsia" w:ascii="宋体" w:hAnsi="Times New Roman" w:eastAsia="宋体" w:cs="Times New Roman"/>
          <w:color w:val="auto"/>
          <w:sz w:val="24"/>
          <w:highlight w:val="none"/>
        </w:rPr>
      </w:pPr>
      <w:r>
        <w:rPr>
          <w:rFonts w:hint="eastAsia" w:ascii="宋体" w:hAnsi="Times New Roman" w:eastAsia="宋体" w:cs="Times New Roman"/>
          <w:color w:val="auto"/>
          <w:sz w:val="24"/>
          <w:highlight w:val="none"/>
        </w:rPr>
        <w:t>联系电话：</w:t>
      </w:r>
    </w:p>
    <w:p>
      <w:pPr>
        <w:keepNext w:val="0"/>
        <w:keepLines w:val="0"/>
        <w:pageBreakBefore w:val="0"/>
        <w:kinsoku/>
        <w:wordWrap/>
        <w:overflowPunct/>
        <w:topLinePunct w:val="0"/>
        <w:autoSpaceDE/>
        <w:autoSpaceDN/>
        <w:bidi w:val="0"/>
        <w:adjustRightInd/>
        <w:snapToGrid/>
        <w:spacing w:line="440" w:lineRule="exact"/>
        <w:ind w:firstLine="3720" w:firstLineChars="1550"/>
        <w:rPr>
          <w:rFonts w:hint="eastAsia" w:ascii="宋体" w:hAnsi="Times New Roman" w:eastAsia="宋体" w:cs="Times New Roman"/>
          <w:color w:val="auto"/>
          <w:sz w:val="24"/>
          <w:highlight w:val="none"/>
        </w:rPr>
      </w:pPr>
      <w:r>
        <w:rPr>
          <w:rFonts w:hint="eastAsia" w:ascii="宋体" w:hAnsi="Times New Roman" w:eastAsia="宋体" w:cs="Times New Roman"/>
          <w:color w:val="auto"/>
          <w:sz w:val="24"/>
          <w:highlight w:val="none"/>
        </w:rPr>
        <w:t>委托代理人（身份证号码）：    （签字或盖章）</w:t>
      </w:r>
    </w:p>
    <w:p>
      <w:pPr>
        <w:keepNext w:val="0"/>
        <w:keepLines w:val="0"/>
        <w:pageBreakBefore w:val="0"/>
        <w:kinsoku/>
        <w:wordWrap/>
        <w:overflowPunct/>
        <w:topLinePunct w:val="0"/>
        <w:autoSpaceDE/>
        <w:autoSpaceDN/>
        <w:bidi w:val="0"/>
        <w:adjustRightInd/>
        <w:snapToGrid/>
        <w:spacing w:line="440" w:lineRule="exact"/>
        <w:ind w:firstLine="5040" w:firstLineChars="2100"/>
        <w:rPr>
          <w:rFonts w:ascii="宋体"/>
          <w:color w:val="auto"/>
          <w:sz w:val="24"/>
          <w:highlight w:val="none"/>
        </w:rPr>
      </w:pPr>
      <w:r>
        <w:rPr>
          <w:rFonts w:hint="eastAsia" w:ascii="宋体"/>
          <w:color w:val="auto"/>
          <w:sz w:val="24"/>
          <w:highlight w:val="none"/>
        </w:rPr>
        <w:t xml:space="preserve">  </w:t>
      </w:r>
      <w:r>
        <w:rPr>
          <w:rFonts w:hint="eastAsia" w:ascii="宋体"/>
          <w:color w:val="auto"/>
          <w:sz w:val="24"/>
          <w:highlight w:val="none"/>
          <w:lang w:val="en-US" w:eastAsia="zh-CN"/>
        </w:rPr>
        <w:t xml:space="preserve">  </w:t>
      </w:r>
      <w:r>
        <w:rPr>
          <w:rFonts w:hint="eastAsia" w:ascii="宋体"/>
          <w:color w:val="auto"/>
          <w:sz w:val="24"/>
          <w:highlight w:val="none"/>
        </w:rPr>
        <w:t xml:space="preserve"> 联系电话：</w:t>
      </w:r>
    </w:p>
    <w:p>
      <w:pPr>
        <w:keepNext w:val="0"/>
        <w:keepLines w:val="0"/>
        <w:pageBreakBefore w:val="0"/>
        <w:kinsoku/>
        <w:wordWrap/>
        <w:overflowPunct/>
        <w:topLinePunct w:val="0"/>
        <w:autoSpaceDE/>
        <w:autoSpaceDN/>
        <w:bidi w:val="0"/>
        <w:adjustRightInd/>
        <w:snapToGrid/>
        <w:spacing w:line="440" w:lineRule="exact"/>
        <w:ind w:firstLine="5700" w:firstLineChars="2375"/>
        <w:rPr>
          <w:rFonts w:ascii="宋体"/>
          <w:color w:val="auto"/>
          <w:sz w:val="24"/>
          <w:highlight w:val="none"/>
        </w:rPr>
      </w:pPr>
      <w:r>
        <w:rPr>
          <w:rFonts w:hint="eastAsia" w:ascii="宋体"/>
          <w:color w:val="auto"/>
          <w:sz w:val="24"/>
          <w:highlight w:val="none"/>
        </w:rPr>
        <w:t>年    月    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color w:val="auto"/>
          <w:sz w:val="28"/>
          <w:szCs w:val="28"/>
          <w:highlight w:val="none"/>
        </w:rPr>
      </w:pPr>
    </w:p>
    <w:p>
      <w:pPr>
        <w:rPr>
          <w:rFonts w:hint="eastAsia"/>
          <w:b/>
          <w:color w:val="auto"/>
          <w:sz w:val="28"/>
          <w:szCs w:val="28"/>
          <w:highlight w:val="none"/>
        </w:rPr>
      </w:pPr>
      <w:r>
        <w:rPr>
          <w:rFonts w:hint="eastAsia"/>
          <w:b/>
          <w:color w:val="auto"/>
          <w:sz w:val="28"/>
          <w:szCs w:val="28"/>
          <w:highlight w:val="none"/>
        </w:rPr>
        <w:br w:type="page"/>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b/>
          <w:color w:val="auto"/>
          <w:sz w:val="28"/>
          <w:szCs w:val="28"/>
          <w:highlight w:val="none"/>
        </w:rPr>
      </w:pPr>
      <w:r>
        <w:rPr>
          <w:rFonts w:hint="eastAsia"/>
          <w:b/>
          <w:color w:val="auto"/>
          <w:sz w:val="28"/>
          <w:szCs w:val="28"/>
          <w:highlight w:val="none"/>
        </w:rPr>
        <w:t>（2）诚信投标承诺书</w:t>
      </w:r>
      <w:bookmarkEnd w:id="1042"/>
      <w:bookmarkEnd w:id="1043"/>
      <w:bookmarkEnd w:id="1044"/>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olor w:val="auto"/>
          <w:szCs w:val="21"/>
          <w:highlight w:val="none"/>
        </w:rPr>
      </w:pPr>
      <w:r>
        <w:rPr>
          <w:rFonts w:hint="eastAsia" w:ascii="宋体" w:hAnsi="宋体"/>
          <w:color w:val="auto"/>
          <w:szCs w:val="21"/>
          <w:highlight w:val="none"/>
        </w:rPr>
        <w:t>本人以企业法定代表人的身份郑重承诺：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一、将遵循公开、公正和诚实信用的原则自愿参加</w:t>
      </w:r>
      <w:r>
        <w:rPr>
          <w:rFonts w:hint="eastAsia" w:ascii="宋体" w:hAnsi="宋体"/>
          <w:color w:val="auto"/>
          <w:szCs w:val="21"/>
          <w:highlight w:val="none"/>
          <w:u w:val="single"/>
        </w:rPr>
        <w:t xml:space="preserve">       （项目名称）        </w:t>
      </w:r>
      <w:r>
        <w:rPr>
          <w:rFonts w:hint="eastAsia" w:ascii="宋体" w:hAnsi="宋体"/>
          <w:color w:val="auto"/>
          <w:szCs w:val="21"/>
          <w:highlight w:val="none"/>
        </w:rPr>
        <w:t>项目的投标；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二、所提供的一切材料都是真实、有效、合法的；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三、不出借、转让资质证书，不让他人挂靠投标，不以他人名义投标或者以其他方式弄虚作假，骗取中标；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四、不与其他投标人相互串通投标报价，不排挤其他投标人的公平竞争、损害招标人的合法权益；</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五、不与招标人、招标代理机构或其他投标人串通投标，损害国家利益、社会公共利益或者他人的合法权益；</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szCs w:val="21"/>
          <w:highlight w:val="none"/>
        </w:rPr>
      </w:pPr>
      <w:r>
        <w:rPr>
          <w:rFonts w:hint="eastAsia" w:ascii="宋体" w:hAnsi="宋体"/>
          <w:color w:val="auto"/>
          <w:szCs w:val="21"/>
          <w:highlight w:val="none"/>
        </w:rPr>
        <w:t>六、</w:t>
      </w:r>
      <w:r>
        <w:rPr>
          <w:rFonts w:hint="eastAsia" w:ascii="宋体" w:hAnsi="宋体"/>
          <w:color w:val="auto"/>
          <w:szCs w:val="21"/>
          <w:highlight w:val="none"/>
          <w:u w:val="single"/>
          <w:lang w:val="en-US" w:eastAsia="zh-CN"/>
        </w:rPr>
        <w:t>我公司</w:t>
      </w:r>
      <w:r>
        <w:rPr>
          <w:rFonts w:hint="eastAsia" w:ascii="宋体" w:hAnsi="宋体"/>
          <w:color w:val="auto"/>
          <w:szCs w:val="21"/>
          <w:highlight w:val="none"/>
        </w:rPr>
        <w:t>没有下列情形： 1、被人民法院列入失信被执行人的；2、我公司及其法定代表人、拟任项目经理（</w:t>
      </w:r>
      <w:r>
        <w:rPr>
          <w:rFonts w:hint="eastAsia" w:ascii="宋体" w:hAnsi="宋体"/>
          <w:color w:val="auto"/>
          <w:szCs w:val="21"/>
          <w:highlight w:val="none"/>
          <w:lang w:val="en-US" w:eastAsia="zh-CN"/>
        </w:rPr>
        <w:t>总监理工程师</w:t>
      </w:r>
      <w:r>
        <w:rPr>
          <w:rFonts w:hint="eastAsia" w:ascii="宋体" w:hAnsi="宋体"/>
          <w:color w:val="auto"/>
          <w:szCs w:val="21"/>
          <w:highlight w:val="none"/>
        </w:rPr>
        <w:t>）前三年有行贿犯罪行为的；3、被市场监督管理部门列入经营异常名录或者严重违法企业名单的，且未被移除的；4、被税务部门列入重大税收违法案件当事人的；5、在“信用中国”网站上披露仍在公示期的严重失信行为的；6、被滁州市县两级各行业主管部门及公管部门取消在一定期限内的投标资格且在取消期限内的；7、被滁州市县两级公管部门记入不良行为记录或者信用信息记录，且在披露期内的；8、被人力资源社会保障主管部门列入拖欠农民工工资‘黑名单’或因拖欠农民工工资被县级及以上有关行政主管部门限制投标资格且在限制期限内的；9、</w:t>
      </w:r>
      <w:r>
        <w:rPr>
          <w:rFonts w:hint="eastAsia"/>
          <w:color w:val="auto"/>
          <w:szCs w:val="21"/>
          <w:highlight w:val="none"/>
        </w:rPr>
        <w:t>被列入省级、市级农民工工资支付异常名录的施工企业，限制其参加全市范围内房建和市政工程建设项目投标；列入县级异常名录的施工企业，限制其参加本行政区域内房建和市政建设项目投标。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七、严格遵守开标现场纪律，服从监管人员管理；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八、保证中标后不转包及使用挂靠施工队伍，若有分包征得建设单位同意；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九、保证中标之后，按照投标文件承诺派驻管理人员及投入机械设备，如有违反，同意接受建设单位违约处罚；</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十、保证企业及所属相关人员在本次投标中无行贿等犯罪行为；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十</w:t>
      </w:r>
      <w:r>
        <w:rPr>
          <w:rFonts w:hint="eastAsia" w:ascii="宋体" w:hAnsi="宋体"/>
          <w:color w:val="auto"/>
          <w:szCs w:val="21"/>
          <w:highlight w:val="none"/>
          <w:lang w:val="en-US" w:eastAsia="zh-CN"/>
        </w:rPr>
        <w:t>一</w:t>
      </w:r>
      <w:r>
        <w:rPr>
          <w:rFonts w:hint="eastAsia" w:ascii="宋体" w:hAnsi="宋体"/>
          <w:color w:val="auto"/>
          <w:szCs w:val="21"/>
          <w:highlight w:val="none"/>
        </w:rPr>
        <w:t>、如在投标过程和公示期间发生投诉行为，依法进行投诉。投诉内容符合要求，投诉材料加盖企业公章或由法定代表人授权委托人签字，并附有关身份证明复印件。不恶意投诉，对本公司提供的投诉线索的真实性负责，否则愿接受有关部门的处罚；</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十</w:t>
      </w:r>
      <w:r>
        <w:rPr>
          <w:rFonts w:hint="eastAsia" w:ascii="宋体" w:hAnsi="宋体"/>
          <w:color w:val="auto"/>
          <w:szCs w:val="21"/>
          <w:highlight w:val="none"/>
          <w:lang w:val="en-US" w:eastAsia="zh-CN"/>
        </w:rPr>
        <w:t>二</w:t>
      </w:r>
      <w:r>
        <w:rPr>
          <w:rFonts w:hint="eastAsia" w:ascii="宋体" w:hAnsi="宋体"/>
          <w:color w:val="auto"/>
          <w:szCs w:val="21"/>
          <w:highlight w:val="none"/>
        </w:rPr>
        <w:t>、如我公司中标，按照国务院《关于全面治理拖欠农民工工资问题的意见》（国办发[2016]1号）及国家住建部和人社部关于《建筑工人实名制管理办法》（建市[2019]18号）的规定，总承包单位对所承建的工程项目的建筑工人实名制管理负总责，对建筑工人实行实名制管理；实行人工费用与其他工程款分账管理制度；建筑工程承包单位必须开设农民工工资专户；建设单位在支付工程款时，应将人工费部分按规定汇入建筑工程承包单位的农民工工资专户，由建筑工程承包单位按劳动合同约定，通过农民工工资专户按月足额将工资发放给建筑工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以上内容我已仔细阅读，本公司若有违反承诺内容的行为，自愿接受取消投标或者中标资格、记入不良行为记录、投标保证金不予退还等有关处理，愿意承担法律责任，给招标人造成损失的，依法承担赔偿责任。</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开户银行：                          基本账户：</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投标人（盖章）：              法定代表人（签字或</w:t>
      </w:r>
      <w:r>
        <w:rPr>
          <w:rFonts w:hint="eastAsia" w:ascii="宋体" w:hAnsi="宋体"/>
          <w:color w:val="auto"/>
          <w:szCs w:val="21"/>
          <w:highlight w:val="none"/>
          <w:lang w:val="en-US" w:eastAsia="zh-CN"/>
        </w:rPr>
        <w:t>盖</w:t>
      </w:r>
      <w:r>
        <w:rPr>
          <w:rFonts w:hint="eastAsia" w:ascii="宋体" w:hAnsi="宋体"/>
          <w:color w:val="auto"/>
          <w:szCs w:val="21"/>
          <w:highlight w:val="none"/>
        </w:rPr>
        <w:t>章）：</w:t>
      </w:r>
    </w:p>
    <w:p>
      <w:pPr>
        <w:keepNext w:val="0"/>
        <w:keepLines w:val="0"/>
        <w:pageBreakBefore w:val="0"/>
        <w:widowControl w:val="0"/>
        <w:kinsoku/>
        <w:wordWrap/>
        <w:overflowPunct/>
        <w:topLinePunct w:val="0"/>
        <w:autoSpaceDE/>
        <w:autoSpaceDN/>
        <w:bidi w:val="0"/>
        <w:adjustRightInd/>
        <w:snapToGrid/>
        <w:spacing w:line="360" w:lineRule="exact"/>
        <w:ind w:firstLine="5250" w:firstLineChars="2500"/>
        <w:textAlignment w:val="auto"/>
        <w:rPr>
          <w:color w:val="auto"/>
          <w:highlight w:val="none"/>
        </w:rPr>
      </w:pPr>
      <w:r>
        <w:rPr>
          <w:rFonts w:hint="eastAsia" w:ascii="宋体" w:hAnsi="宋体"/>
          <w:color w:val="auto"/>
          <w:szCs w:val="21"/>
          <w:highlight w:val="none"/>
        </w:rPr>
        <w:t>日期：    年   月   日</w:t>
      </w:r>
    </w:p>
    <w:p>
      <w:pPr>
        <w:rPr>
          <w:rFonts w:eastAsia="黑体"/>
          <w:color w:val="auto"/>
          <w:sz w:val="28"/>
          <w:szCs w:val="28"/>
          <w:highlight w:val="none"/>
          <w:u w:val="single"/>
        </w:rPr>
      </w:pPr>
      <w:r>
        <w:rPr>
          <w:rFonts w:hint="eastAsia" w:ascii="宋体" w:hAnsi="宋体"/>
          <w:b/>
          <w:color w:val="auto"/>
          <w:sz w:val="32"/>
          <w:szCs w:val="32"/>
          <w:highlight w:val="none"/>
        </w:rPr>
        <w:br w:type="page"/>
      </w:r>
    </w:p>
    <w:p>
      <w:pPr>
        <w:jc w:val="center"/>
        <w:rPr>
          <w:rFonts w:eastAsia="黑体"/>
          <w:color w:val="auto"/>
          <w:sz w:val="28"/>
          <w:szCs w:val="28"/>
          <w:highlight w:val="none"/>
        </w:rPr>
      </w:pPr>
    </w:p>
    <w:p>
      <w:pPr>
        <w:rPr>
          <w:color w:val="auto"/>
          <w:highlight w:val="none"/>
        </w:rPr>
      </w:pPr>
    </w:p>
    <w:p>
      <w:pPr>
        <w:jc w:val="center"/>
        <w:rPr>
          <w:rFonts w:eastAsia="黑体"/>
          <w:color w:val="auto"/>
          <w:sz w:val="20"/>
          <w:szCs w:val="20"/>
          <w:highlight w:val="none"/>
        </w:rPr>
      </w:pPr>
      <w:r>
        <w:rPr>
          <w:rFonts w:eastAsia="黑体"/>
          <w:color w:val="auto"/>
          <w:sz w:val="28"/>
          <w:szCs w:val="28"/>
          <w:highlight w:val="none"/>
        </w:rPr>
        <w:t>（项目名称）</w:t>
      </w:r>
    </w:p>
    <w:p>
      <w:pPr>
        <w:jc w:val="center"/>
        <w:rPr>
          <w:rFonts w:eastAsia="黑体"/>
          <w:color w:val="auto"/>
          <w:sz w:val="20"/>
          <w:szCs w:val="20"/>
          <w:highlight w:val="none"/>
        </w:rPr>
      </w:pPr>
    </w:p>
    <w:p>
      <w:pPr>
        <w:rPr>
          <w:rFonts w:eastAsia="黑体"/>
          <w:color w:val="auto"/>
          <w:sz w:val="20"/>
          <w:szCs w:val="20"/>
          <w:highlight w:val="none"/>
        </w:rPr>
      </w:pPr>
    </w:p>
    <w:p>
      <w:pPr>
        <w:jc w:val="center"/>
        <w:rPr>
          <w:rFonts w:hint="eastAsia" w:eastAsia="黑体"/>
          <w:color w:val="auto"/>
          <w:sz w:val="44"/>
          <w:szCs w:val="44"/>
          <w:highlight w:val="none"/>
          <w:lang w:eastAsia="zh-CN"/>
        </w:rPr>
      </w:pPr>
      <w:r>
        <w:rPr>
          <w:rFonts w:eastAsia="黑体"/>
          <w:color w:val="auto"/>
          <w:sz w:val="44"/>
          <w:szCs w:val="44"/>
          <w:highlight w:val="none"/>
        </w:rPr>
        <w:t>投  标  文  件</w:t>
      </w:r>
      <w:r>
        <w:rPr>
          <w:rFonts w:hint="eastAsia" w:eastAsia="黑体"/>
          <w:color w:val="auto"/>
          <w:sz w:val="44"/>
          <w:szCs w:val="44"/>
          <w:highlight w:val="none"/>
        </w:rPr>
        <w:t xml:space="preserve">  </w:t>
      </w:r>
      <w:r>
        <w:rPr>
          <w:rFonts w:hint="eastAsia" w:eastAsia="黑体"/>
          <w:color w:val="auto"/>
          <w:sz w:val="44"/>
          <w:szCs w:val="44"/>
          <w:highlight w:val="none"/>
          <w:lang w:val="en-US" w:eastAsia="zh-CN"/>
        </w:rPr>
        <w:t>二</w:t>
      </w:r>
    </w:p>
    <w:p>
      <w:pPr>
        <w:jc w:val="center"/>
        <w:rPr>
          <w:rFonts w:eastAsia="黑体"/>
          <w:color w:val="auto"/>
          <w:sz w:val="44"/>
          <w:szCs w:val="44"/>
          <w:highlight w:val="none"/>
        </w:rPr>
      </w:pPr>
      <w:r>
        <w:rPr>
          <w:rFonts w:hint="eastAsia" w:eastAsia="黑体"/>
          <w:color w:val="auto"/>
          <w:sz w:val="44"/>
          <w:szCs w:val="44"/>
          <w:highlight w:val="none"/>
        </w:rPr>
        <w:t>（商务标文件）</w:t>
      </w: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jc w:val="center"/>
        <w:rPr>
          <w:rFonts w:eastAsia="黑体"/>
          <w:color w:val="auto"/>
          <w:sz w:val="28"/>
          <w:szCs w:val="28"/>
          <w:highlight w:val="none"/>
          <w:u w:val="single"/>
        </w:rPr>
      </w:pPr>
      <w:r>
        <w:rPr>
          <w:rFonts w:hint="eastAsia" w:eastAsia="黑体"/>
          <w:color w:val="auto"/>
          <w:sz w:val="28"/>
          <w:szCs w:val="28"/>
          <w:highlight w:val="none"/>
        </w:rPr>
        <w:t xml:space="preserve"> 投标人</w:t>
      </w:r>
      <w:r>
        <w:rPr>
          <w:rFonts w:eastAsia="黑体"/>
          <w:color w:val="auto"/>
          <w:sz w:val="28"/>
          <w:szCs w:val="28"/>
          <w:highlight w:val="none"/>
        </w:rPr>
        <w:t>：</w:t>
      </w:r>
      <w:r>
        <w:rPr>
          <w:rFonts w:eastAsia="黑体"/>
          <w:color w:val="auto"/>
          <w:sz w:val="28"/>
          <w:szCs w:val="28"/>
          <w:highlight w:val="none"/>
          <w:u w:val="single"/>
        </w:rPr>
        <w:t xml:space="preserve">               </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r>
        <w:rPr>
          <w:rFonts w:eastAsia="黑体"/>
          <w:color w:val="auto"/>
          <w:sz w:val="28"/>
          <w:szCs w:val="28"/>
          <w:highlight w:val="none"/>
        </w:rPr>
        <w:t>（</w:t>
      </w:r>
      <w:r>
        <w:rPr>
          <w:rFonts w:hint="eastAsia" w:eastAsia="黑体"/>
          <w:color w:val="auto"/>
          <w:sz w:val="28"/>
          <w:szCs w:val="28"/>
          <w:highlight w:val="none"/>
        </w:rPr>
        <w:t>盖</w:t>
      </w:r>
      <w:r>
        <w:rPr>
          <w:rFonts w:eastAsia="黑体"/>
          <w:color w:val="auto"/>
          <w:sz w:val="28"/>
          <w:szCs w:val="28"/>
          <w:highlight w:val="none"/>
        </w:rPr>
        <w:t>章）</w:t>
      </w:r>
    </w:p>
    <w:p>
      <w:pPr>
        <w:jc w:val="center"/>
        <w:rPr>
          <w:rFonts w:eastAsia="黑体"/>
          <w:color w:val="auto"/>
          <w:sz w:val="28"/>
          <w:szCs w:val="28"/>
          <w:highlight w:val="none"/>
        </w:rPr>
      </w:pPr>
      <w:r>
        <w:rPr>
          <w:rFonts w:hint="eastAsia" w:eastAsia="黑体"/>
          <w:color w:val="auto"/>
          <w:sz w:val="28"/>
          <w:szCs w:val="28"/>
          <w:highlight w:val="none"/>
        </w:rPr>
        <w:t xml:space="preserve">   </w:t>
      </w:r>
      <w:r>
        <w:rPr>
          <w:rFonts w:eastAsia="黑体"/>
          <w:color w:val="auto"/>
          <w:sz w:val="28"/>
          <w:szCs w:val="28"/>
          <w:highlight w:val="none"/>
        </w:rPr>
        <w:t>法定代表人</w:t>
      </w:r>
      <w:r>
        <w:rPr>
          <w:rFonts w:hint="eastAsia" w:eastAsia="黑体"/>
          <w:color w:val="auto"/>
          <w:sz w:val="28"/>
          <w:szCs w:val="28"/>
          <w:highlight w:val="none"/>
          <w:lang w:val="en-US" w:eastAsia="zh-CN"/>
        </w:rPr>
        <w:t>或授权委托人</w:t>
      </w:r>
      <w:r>
        <w:rPr>
          <w:rFonts w:eastAsia="黑体"/>
          <w:color w:val="auto"/>
          <w:sz w:val="28"/>
          <w:szCs w:val="28"/>
          <w:highlight w:val="none"/>
        </w:rPr>
        <w:t>：</w:t>
      </w:r>
      <w:r>
        <w:rPr>
          <w:rFonts w:eastAsia="黑体"/>
          <w:color w:val="auto"/>
          <w:sz w:val="28"/>
          <w:szCs w:val="28"/>
          <w:highlight w:val="none"/>
          <w:u w:val="single"/>
        </w:rPr>
        <w:t xml:space="preserve">         </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r>
        <w:rPr>
          <w:rFonts w:eastAsia="黑体"/>
          <w:color w:val="auto"/>
          <w:sz w:val="28"/>
          <w:szCs w:val="28"/>
          <w:highlight w:val="none"/>
        </w:rPr>
        <w:t>（</w:t>
      </w:r>
      <w:r>
        <w:rPr>
          <w:rFonts w:hint="eastAsia" w:eastAsia="黑体"/>
          <w:color w:val="auto"/>
          <w:sz w:val="28"/>
          <w:szCs w:val="28"/>
          <w:highlight w:val="none"/>
        </w:rPr>
        <w:t>签字或盖章</w:t>
      </w:r>
      <w:r>
        <w:rPr>
          <w:rFonts w:eastAsia="黑体"/>
          <w:color w:val="auto"/>
          <w:sz w:val="28"/>
          <w:szCs w:val="28"/>
          <w:highlight w:val="none"/>
        </w:rPr>
        <w:t>）</w:t>
      </w:r>
    </w:p>
    <w:p>
      <w:pPr>
        <w:jc w:val="center"/>
        <w:rPr>
          <w:rFonts w:eastAsia="黑体"/>
          <w:color w:val="auto"/>
          <w:sz w:val="28"/>
          <w:szCs w:val="28"/>
          <w:highlight w:val="none"/>
        </w:rPr>
      </w:pPr>
      <w:r>
        <w:rPr>
          <w:rFonts w:hint="eastAsia" w:eastAsia="黑体"/>
          <w:color w:val="auto"/>
          <w:sz w:val="28"/>
          <w:szCs w:val="28"/>
          <w:highlight w:val="none"/>
          <w:u w:val="single"/>
        </w:rPr>
        <w:t xml:space="preserve">      </w:t>
      </w:r>
      <w:r>
        <w:rPr>
          <w:rFonts w:eastAsia="黑体"/>
          <w:color w:val="auto"/>
          <w:sz w:val="28"/>
          <w:szCs w:val="28"/>
          <w:highlight w:val="none"/>
        </w:rPr>
        <w:t>年</w:t>
      </w:r>
      <w:r>
        <w:rPr>
          <w:rFonts w:hint="eastAsia" w:eastAsia="黑体"/>
          <w:color w:val="auto"/>
          <w:sz w:val="28"/>
          <w:szCs w:val="28"/>
          <w:highlight w:val="none"/>
          <w:u w:val="single"/>
        </w:rPr>
        <w:t xml:space="preserve">     </w:t>
      </w:r>
      <w:r>
        <w:rPr>
          <w:rFonts w:eastAsia="黑体"/>
          <w:color w:val="auto"/>
          <w:sz w:val="28"/>
          <w:szCs w:val="28"/>
          <w:highlight w:val="none"/>
        </w:rPr>
        <w:t>月</w:t>
      </w:r>
      <w:r>
        <w:rPr>
          <w:rFonts w:hint="eastAsia" w:eastAsia="黑体"/>
          <w:color w:val="auto"/>
          <w:sz w:val="28"/>
          <w:szCs w:val="28"/>
          <w:highlight w:val="none"/>
          <w:u w:val="single"/>
        </w:rPr>
        <w:t xml:space="preserve">     </w:t>
      </w:r>
      <w:r>
        <w:rPr>
          <w:rFonts w:eastAsia="黑体"/>
          <w:color w:val="auto"/>
          <w:sz w:val="28"/>
          <w:szCs w:val="28"/>
          <w:highlight w:val="none"/>
        </w:rPr>
        <w:t>日</w:t>
      </w:r>
    </w:p>
    <w:p>
      <w:pPr>
        <w:rPr>
          <w:color w:val="auto"/>
          <w:highlight w:val="none"/>
        </w:rPr>
      </w:pPr>
    </w:p>
    <w:p>
      <w:pPr>
        <w:pStyle w:val="2"/>
        <w:ind w:firstLine="420"/>
        <w:rPr>
          <w:color w:val="auto"/>
          <w:highlight w:val="none"/>
        </w:rPr>
      </w:pPr>
    </w:p>
    <w:p>
      <w:pPr>
        <w:rPr>
          <w:color w:val="auto"/>
          <w:highlight w:val="none"/>
        </w:rPr>
      </w:pPr>
    </w:p>
    <w:p>
      <w:pPr>
        <w:spacing w:beforeLines="50" w:afterLines="50" w:line="440" w:lineRule="exact"/>
        <w:ind w:firstLine="643" w:firstLineChars="200"/>
        <w:jc w:val="left"/>
        <w:rPr>
          <w:rStyle w:val="65"/>
          <w:rFonts w:ascii="宋体" w:hAnsi="宋体" w:cs="宋体"/>
          <w:color w:val="auto"/>
          <w:sz w:val="32"/>
          <w:highlight w:val="none"/>
        </w:rPr>
      </w:pPr>
      <w:bookmarkStart w:id="1045" w:name="_Toc35425139"/>
      <w:bookmarkStart w:id="1046" w:name="_Toc35424973"/>
      <w:bookmarkStart w:id="1047" w:name="_Toc19174"/>
      <w:bookmarkStart w:id="1048" w:name="_Toc78803401"/>
      <w:r>
        <w:rPr>
          <w:rStyle w:val="65"/>
          <w:rFonts w:hint="eastAsia" w:ascii="宋体" w:hAnsi="宋体" w:cs="宋体"/>
          <w:color w:val="auto"/>
          <w:sz w:val="32"/>
          <w:highlight w:val="none"/>
        </w:rPr>
        <w:br w:type="page"/>
      </w:r>
      <w:bookmarkStart w:id="1049" w:name="_Toc19057"/>
      <w:bookmarkStart w:id="1050" w:name="_Toc27877"/>
      <w:r>
        <w:rPr>
          <w:rStyle w:val="65"/>
          <w:rFonts w:hint="eastAsia" w:ascii="宋体" w:hAnsi="宋体" w:cs="宋体"/>
          <w:color w:val="auto"/>
          <w:sz w:val="32"/>
          <w:highlight w:val="none"/>
        </w:rPr>
        <w:t>投标文件三</w:t>
      </w:r>
      <w:bookmarkEnd w:id="1045"/>
      <w:bookmarkEnd w:id="1046"/>
      <w:bookmarkEnd w:id="1047"/>
      <w:r>
        <w:rPr>
          <w:rStyle w:val="65"/>
          <w:rFonts w:hint="eastAsia" w:ascii="宋体" w:hAnsi="宋体" w:cs="宋体"/>
          <w:color w:val="auto"/>
          <w:sz w:val="32"/>
          <w:highlight w:val="none"/>
        </w:rPr>
        <w:t>：商务标目录</w:t>
      </w:r>
      <w:bookmarkEnd w:id="1048"/>
    </w:p>
    <w:bookmarkEnd w:id="1049"/>
    <w:bookmarkEnd w:id="1050"/>
    <w:p>
      <w:pPr>
        <w:spacing w:line="440" w:lineRule="exact"/>
        <w:ind w:firstLine="420" w:firstLineChars="200"/>
        <w:jc w:val="left"/>
        <w:rPr>
          <w:rFonts w:hint="eastAsia" w:ascii="宋体" w:hAnsi="宋体" w:cs="宋体"/>
          <w:i/>
          <w:iCs/>
          <w:color w:val="auto"/>
          <w:szCs w:val="21"/>
          <w:highlight w:val="none"/>
        </w:rPr>
      </w:pPr>
      <w:r>
        <w:rPr>
          <w:rFonts w:hint="eastAsia" w:ascii="宋体" w:hAnsi="宋体" w:cs="宋体"/>
          <w:color w:val="auto"/>
          <w:szCs w:val="21"/>
          <w:highlight w:val="none"/>
        </w:rPr>
        <w:t>（1）投标函；</w:t>
      </w:r>
    </w:p>
    <w:p>
      <w:pPr>
        <w:spacing w:line="44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eastAsia="zh-CN"/>
        </w:rPr>
        <w:t>）工程量清单报价书；</w:t>
      </w:r>
    </w:p>
    <w:p>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商务评审需要及</w:t>
      </w:r>
      <w:r>
        <w:rPr>
          <w:rFonts w:hint="eastAsia" w:ascii="宋体" w:hAnsi="宋体" w:cs="宋体"/>
          <w:color w:val="auto"/>
          <w:szCs w:val="21"/>
          <w:highlight w:val="none"/>
        </w:rPr>
        <w:t>投标人认为需要提供的其他材料。</w:t>
      </w:r>
    </w:p>
    <w:p>
      <w:pPr>
        <w:spacing w:line="540" w:lineRule="exact"/>
        <w:rPr>
          <w:rFonts w:eastAsia="黑体"/>
          <w:color w:val="auto"/>
          <w:sz w:val="20"/>
          <w:szCs w:val="20"/>
          <w:highlight w:val="none"/>
        </w:rPr>
      </w:pPr>
    </w:p>
    <w:p>
      <w:pPr>
        <w:spacing w:line="540" w:lineRule="exact"/>
        <w:rPr>
          <w:rFonts w:eastAsia="黑体"/>
          <w:color w:val="auto"/>
          <w:sz w:val="20"/>
          <w:szCs w:val="20"/>
          <w:highlight w:val="none"/>
        </w:rPr>
      </w:pPr>
    </w:p>
    <w:p>
      <w:pPr>
        <w:spacing w:line="540" w:lineRule="exact"/>
        <w:rPr>
          <w:rFonts w:eastAsia="黑体"/>
          <w:color w:val="auto"/>
          <w:sz w:val="20"/>
          <w:szCs w:val="20"/>
          <w:highlight w:val="none"/>
        </w:rPr>
      </w:pPr>
    </w:p>
    <w:p>
      <w:pPr>
        <w:spacing w:line="360" w:lineRule="auto"/>
        <w:ind w:firstLine="420" w:firstLineChars="200"/>
        <w:jc w:val="right"/>
        <w:rPr>
          <w:color w:val="auto"/>
          <w:szCs w:val="21"/>
          <w:highlight w:val="none"/>
          <w:u w:val="single"/>
        </w:rPr>
      </w:pPr>
    </w:p>
    <w:p>
      <w:pPr>
        <w:spacing w:line="360" w:lineRule="auto"/>
        <w:ind w:firstLine="420" w:firstLineChars="200"/>
        <w:jc w:val="right"/>
        <w:rPr>
          <w:color w:val="auto"/>
          <w:szCs w:val="21"/>
          <w:highlight w:val="none"/>
          <w:u w:val="single"/>
        </w:rPr>
      </w:pPr>
    </w:p>
    <w:p>
      <w:pPr>
        <w:spacing w:line="360" w:lineRule="auto"/>
        <w:ind w:firstLine="420" w:firstLineChars="200"/>
        <w:jc w:val="right"/>
        <w:rPr>
          <w:color w:val="auto"/>
          <w:szCs w:val="21"/>
          <w:highlight w:val="none"/>
          <w:u w:val="single"/>
        </w:rPr>
      </w:pPr>
    </w:p>
    <w:p>
      <w:pPr>
        <w:spacing w:line="360" w:lineRule="auto"/>
        <w:ind w:firstLine="420" w:firstLineChars="200"/>
        <w:jc w:val="right"/>
        <w:rPr>
          <w:color w:val="auto"/>
          <w:szCs w:val="21"/>
          <w:highlight w:val="none"/>
          <w:u w:val="single"/>
        </w:rPr>
      </w:pPr>
    </w:p>
    <w:p>
      <w:pPr>
        <w:spacing w:line="360" w:lineRule="auto"/>
        <w:ind w:firstLine="420" w:firstLineChars="200"/>
        <w:jc w:val="right"/>
        <w:rPr>
          <w:color w:val="auto"/>
          <w:szCs w:val="21"/>
          <w:highlight w:val="none"/>
          <w:u w:val="single"/>
        </w:rPr>
      </w:pPr>
    </w:p>
    <w:p>
      <w:pPr>
        <w:spacing w:line="360" w:lineRule="auto"/>
        <w:ind w:firstLine="420" w:firstLineChars="200"/>
        <w:jc w:val="right"/>
        <w:rPr>
          <w:color w:val="auto"/>
          <w:szCs w:val="21"/>
          <w:highlight w:val="none"/>
          <w:u w:val="single"/>
        </w:rPr>
      </w:pPr>
    </w:p>
    <w:p>
      <w:pPr>
        <w:spacing w:line="360" w:lineRule="auto"/>
        <w:ind w:firstLine="420" w:firstLineChars="200"/>
        <w:jc w:val="right"/>
        <w:rPr>
          <w:color w:val="auto"/>
          <w:szCs w:val="21"/>
          <w:highlight w:val="none"/>
          <w:u w:val="single"/>
        </w:rPr>
      </w:pPr>
    </w:p>
    <w:p>
      <w:pPr>
        <w:spacing w:line="360" w:lineRule="auto"/>
        <w:ind w:firstLine="420" w:firstLineChars="200"/>
        <w:jc w:val="right"/>
        <w:rPr>
          <w:color w:val="auto"/>
          <w:szCs w:val="21"/>
          <w:highlight w:val="none"/>
          <w:u w:val="single"/>
        </w:rPr>
      </w:pPr>
    </w:p>
    <w:p>
      <w:pPr>
        <w:jc w:val="center"/>
        <w:rPr>
          <w:b/>
          <w:color w:val="auto"/>
          <w:sz w:val="32"/>
          <w:szCs w:val="32"/>
          <w:highlight w:val="none"/>
        </w:rPr>
      </w:pPr>
    </w:p>
    <w:p>
      <w:pPr>
        <w:jc w:val="center"/>
        <w:rPr>
          <w:b/>
          <w:color w:val="auto"/>
          <w:sz w:val="32"/>
          <w:szCs w:val="32"/>
          <w:highlight w:val="none"/>
        </w:rPr>
      </w:pPr>
    </w:p>
    <w:p>
      <w:pPr>
        <w:jc w:val="center"/>
        <w:rPr>
          <w:b/>
          <w:color w:val="auto"/>
          <w:sz w:val="32"/>
          <w:szCs w:val="32"/>
          <w:highlight w:val="none"/>
        </w:rPr>
      </w:pPr>
    </w:p>
    <w:p>
      <w:pPr>
        <w:jc w:val="center"/>
        <w:rPr>
          <w:b/>
          <w:color w:val="auto"/>
          <w:sz w:val="32"/>
          <w:szCs w:val="32"/>
          <w:highlight w:val="none"/>
        </w:rPr>
      </w:pPr>
    </w:p>
    <w:p>
      <w:pPr>
        <w:jc w:val="center"/>
        <w:rPr>
          <w:b/>
          <w:color w:val="auto"/>
          <w:sz w:val="32"/>
          <w:szCs w:val="32"/>
          <w:highlight w:val="none"/>
        </w:rPr>
      </w:pPr>
    </w:p>
    <w:p>
      <w:pPr>
        <w:jc w:val="center"/>
        <w:rPr>
          <w:b/>
          <w:color w:val="auto"/>
          <w:sz w:val="32"/>
          <w:szCs w:val="32"/>
          <w:highlight w:val="none"/>
        </w:rPr>
      </w:pPr>
    </w:p>
    <w:p>
      <w:pPr>
        <w:jc w:val="center"/>
        <w:rPr>
          <w:b/>
          <w:color w:val="auto"/>
          <w:sz w:val="32"/>
          <w:szCs w:val="32"/>
          <w:highlight w:val="none"/>
        </w:rPr>
      </w:pPr>
    </w:p>
    <w:p>
      <w:pPr>
        <w:spacing w:line="360" w:lineRule="auto"/>
        <w:rPr>
          <w:b/>
          <w:bCs/>
          <w:color w:val="auto"/>
          <w:sz w:val="32"/>
          <w:szCs w:val="32"/>
          <w:highlight w:val="none"/>
        </w:rPr>
      </w:pPr>
    </w:p>
    <w:p>
      <w:pPr>
        <w:jc w:val="center"/>
        <w:rPr>
          <w:rFonts w:ascii="宋体" w:hAnsi="宋体"/>
          <w:b/>
          <w:color w:val="auto"/>
          <w:sz w:val="32"/>
          <w:szCs w:val="32"/>
          <w:highlight w:val="none"/>
        </w:rPr>
      </w:pPr>
      <w:r>
        <w:rPr>
          <w:rFonts w:hint="eastAsia" w:ascii="宋体" w:hAnsi="宋体"/>
          <w:b/>
          <w:color w:val="auto"/>
          <w:sz w:val="32"/>
          <w:szCs w:val="32"/>
          <w:highlight w:val="none"/>
        </w:rPr>
        <w:br w:type="page"/>
      </w:r>
      <w:r>
        <w:rPr>
          <w:rFonts w:hint="eastAsia" w:ascii="宋体" w:hAnsi="宋体"/>
          <w:b/>
          <w:color w:val="auto"/>
          <w:sz w:val="32"/>
          <w:szCs w:val="32"/>
          <w:highlight w:val="none"/>
        </w:rPr>
        <w:t>（1）投 标 函</w:t>
      </w:r>
    </w:p>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auto"/>
          <w:highlight w:val="none"/>
        </w:rPr>
      </w:pPr>
      <w:bookmarkStart w:id="1051" w:name="_Toc15058950"/>
      <w:bookmarkStart w:id="1052" w:name="_Toc35425140"/>
      <w:bookmarkStart w:id="1053" w:name="_Toc506107366"/>
      <w:bookmarkStart w:id="1054" w:name="_Toc35424974"/>
      <w:r>
        <w:rPr>
          <w:rFonts w:hint="eastAsia" w:ascii="宋体" w:hAnsi="宋体" w:eastAsia="宋体" w:cs="宋体"/>
          <w:b/>
          <w:bCs/>
          <w:color w:val="auto"/>
          <w:highlight w:val="none"/>
        </w:rPr>
        <w:t>致 ：</w:t>
      </w:r>
      <w:r>
        <w:rPr>
          <w:rFonts w:hint="eastAsia" w:ascii="宋体" w:hAnsi="宋体" w:eastAsia="宋体" w:cs="宋体"/>
          <w:b/>
          <w:bCs/>
          <w:color w:val="auto"/>
          <w:highlight w:val="none"/>
          <w:u w:val="single"/>
          <w:lang w:val="en-US" w:eastAsia="zh-CN"/>
        </w:rPr>
        <w:t xml:space="preserve">     </w:t>
      </w:r>
      <w:r>
        <w:rPr>
          <w:rFonts w:hint="eastAsia" w:ascii="宋体" w:hAnsi="宋体" w:cs="宋体"/>
          <w:b/>
          <w:bCs/>
          <w:color w:val="auto"/>
          <w:highlight w:val="none"/>
          <w:u w:val="single"/>
          <w:lang w:val="en-US" w:eastAsia="zh-CN"/>
        </w:rPr>
        <w:t xml:space="preserve">       </w:t>
      </w:r>
      <w:r>
        <w:rPr>
          <w:rFonts w:hint="eastAsia" w:ascii="宋体" w:hAnsi="宋体" w:eastAsia="宋体" w:cs="宋体"/>
          <w:b/>
          <w:bCs/>
          <w:color w:val="auto"/>
          <w:highlight w:val="none"/>
          <w:u w:val="single"/>
          <w:lang w:val="en-US" w:eastAsia="zh-CN"/>
        </w:rPr>
        <w:t xml:space="preserve">  （招标人） </w:t>
      </w:r>
      <w:r>
        <w:rPr>
          <w:rFonts w:hint="eastAsia" w:ascii="宋体" w:hAnsi="宋体" w:eastAsia="宋体" w:cs="宋体"/>
          <w:color w:val="auto"/>
          <w:highlight w:val="none"/>
        </w:rPr>
        <w:t xml:space="preserve">  </w:t>
      </w:r>
    </w:p>
    <w:p>
      <w:pPr>
        <w:spacing w:line="440" w:lineRule="exact"/>
        <w:ind w:firstLine="420" w:firstLineChars="200"/>
        <w:jc w:val="left"/>
        <w:rPr>
          <w:rFonts w:ascii="宋体" w:hAnsi="宋体"/>
          <w:color w:val="auto"/>
          <w:szCs w:val="21"/>
          <w:highlight w:val="none"/>
        </w:rPr>
      </w:pPr>
      <w:r>
        <w:rPr>
          <w:rFonts w:hint="eastAsia" w:ascii="宋体" w:hAnsi="宋体"/>
          <w:color w:val="auto"/>
          <w:szCs w:val="21"/>
          <w:highlight w:val="none"/>
        </w:rPr>
        <w:t>1、根据你方招标项目编号为</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的</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招标文件，遵照《中华人民共和国招标投标法》等有关规定，经踏勘项目现场和研究上述招标文件的投标须知、合同条件、技术规范、图纸、工程量清单和其他有关文件后，我方愿以</w:t>
      </w:r>
      <w:r>
        <w:rPr>
          <w:rFonts w:hint="eastAsia" w:ascii="宋体" w:hAnsi="宋体"/>
          <w:color w:val="auto"/>
          <w:szCs w:val="21"/>
          <w:highlight w:val="none"/>
          <w:u w:val="single"/>
          <w:lang w:val="en-US" w:eastAsia="zh-CN"/>
        </w:rPr>
        <w:t xml:space="preserve"> （币种、金额、单位）人民币（大写）        （小写）      </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元</w:t>
      </w:r>
      <w:r>
        <w:rPr>
          <w:rFonts w:hint="eastAsia" w:ascii="宋体" w:hAnsi="宋体"/>
          <w:color w:val="auto"/>
          <w:szCs w:val="21"/>
          <w:highlight w:val="none"/>
        </w:rPr>
        <w:t>的投标报价承包上述项目，并承担任何质量缺陷保修责任。</w:t>
      </w:r>
    </w:p>
    <w:p>
      <w:pPr>
        <w:numPr>
          <w:ilvl w:val="0"/>
          <w:numId w:val="7"/>
        </w:numPr>
        <w:spacing w:line="440" w:lineRule="exact"/>
        <w:ind w:left="0" w:firstLine="404" w:firstLineChars="200"/>
        <w:jc w:val="left"/>
        <w:rPr>
          <w:rFonts w:ascii="宋体" w:hAnsi="宋体"/>
          <w:color w:val="auto"/>
          <w:spacing w:val="-4"/>
          <w:szCs w:val="21"/>
          <w:highlight w:val="none"/>
        </w:rPr>
      </w:pPr>
      <w:r>
        <w:rPr>
          <w:rFonts w:hint="eastAsia" w:ascii="宋体" w:hAnsi="宋体"/>
          <w:color w:val="auto"/>
          <w:spacing w:val="-4"/>
          <w:szCs w:val="21"/>
          <w:highlight w:val="none"/>
        </w:rPr>
        <w:t>我方已详细审核全部招标文件及有关附件，承诺招标文件及有关附件中所有条款。</w:t>
      </w:r>
    </w:p>
    <w:p>
      <w:pPr>
        <w:spacing w:line="44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3、一旦我方中标，我方将派出</w:t>
      </w:r>
      <w:r>
        <w:rPr>
          <w:rFonts w:hint="eastAsia" w:ascii="宋体" w:hAnsi="宋体"/>
          <w:color w:val="auto"/>
          <w:szCs w:val="21"/>
          <w:highlight w:val="none"/>
          <w:u w:val="single"/>
        </w:rPr>
        <w:t xml:space="preserve">      </w:t>
      </w:r>
      <w:r>
        <w:rPr>
          <w:rFonts w:hint="eastAsia" w:ascii="宋体" w:hAnsi="宋体"/>
          <w:color w:val="auto"/>
          <w:szCs w:val="21"/>
          <w:highlight w:val="none"/>
        </w:rPr>
        <w:t>为本项目的项目</w:t>
      </w:r>
      <w:r>
        <w:rPr>
          <w:rFonts w:hint="eastAsia" w:ascii="宋体" w:hAnsi="宋体"/>
          <w:color w:val="auto"/>
          <w:szCs w:val="21"/>
          <w:highlight w:val="none"/>
          <w:lang w:val="en-US" w:eastAsia="zh-CN"/>
        </w:rPr>
        <w:t>经理</w:t>
      </w:r>
      <w:r>
        <w:rPr>
          <w:rFonts w:hint="eastAsia" w:ascii="宋体" w:hAnsi="宋体"/>
          <w:color w:val="auto"/>
          <w:szCs w:val="21"/>
          <w:highlight w:val="none"/>
        </w:rPr>
        <w:t>，保证按照招标人要求开始实施本项目，并在</w:t>
      </w:r>
      <w:r>
        <w:rPr>
          <w:rFonts w:hint="eastAsia" w:ascii="宋体" w:hAnsi="宋体"/>
          <w:color w:val="auto"/>
          <w:szCs w:val="21"/>
          <w:highlight w:val="none"/>
          <w:u w:val="single"/>
        </w:rPr>
        <w:t xml:space="preserve">      </w:t>
      </w:r>
      <w:r>
        <w:rPr>
          <w:rFonts w:hint="eastAsia" w:ascii="宋体" w:hAnsi="宋体"/>
          <w:color w:val="auto"/>
          <w:szCs w:val="21"/>
          <w:highlight w:val="none"/>
        </w:rPr>
        <w:t>个日历天（工期）内完成本合同的施工，并移交整个项目，项目质量达到</w:t>
      </w:r>
      <w:r>
        <w:rPr>
          <w:rFonts w:ascii="宋体" w:hAnsi="宋体"/>
          <w:color w:val="auto"/>
          <w:szCs w:val="21"/>
          <w:highlight w:val="none"/>
          <w:u w:val="single"/>
        </w:rPr>
        <w:t xml:space="preserve">   </w:t>
      </w:r>
      <w:r>
        <w:rPr>
          <w:rFonts w:hint="eastAsia" w:ascii="宋体" w:hAnsi="宋体"/>
          <w:color w:val="auto"/>
          <w:szCs w:val="21"/>
          <w:highlight w:val="none"/>
          <w:u w:val="single"/>
        </w:rPr>
        <w:t>合格</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标准。</w:t>
      </w:r>
    </w:p>
    <w:p>
      <w:pPr>
        <w:spacing w:line="440" w:lineRule="exact"/>
        <w:ind w:firstLine="420" w:firstLineChars="200"/>
        <w:jc w:val="left"/>
        <w:rPr>
          <w:rFonts w:ascii="宋体" w:hAnsi="宋体"/>
          <w:color w:val="auto"/>
          <w:szCs w:val="21"/>
          <w:highlight w:val="none"/>
        </w:rPr>
      </w:pPr>
      <w:r>
        <w:rPr>
          <w:rFonts w:hint="eastAsia" w:ascii="宋体" w:hAnsi="宋体"/>
          <w:color w:val="auto"/>
          <w:szCs w:val="21"/>
          <w:highlight w:val="none"/>
        </w:rPr>
        <w:t>4、随本投标书，我方同时按照招标文件的要求提交投标保证金。如果我方在本投标书有效期内撤回投标书，或在中标通知书下达后</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7 </w:t>
      </w:r>
      <w:r>
        <w:rPr>
          <w:rFonts w:ascii="宋体" w:hAnsi="宋体"/>
          <w:color w:val="auto"/>
          <w:szCs w:val="21"/>
          <w:highlight w:val="none"/>
          <w:u w:val="single"/>
        </w:rPr>
        <w:t xml:space="preserve"> </w:t>
      </w:r>
      <w:r>
        <w:rPr>
          <w:rFonts w:hint="eastAsia" w:ascii="宋体" w:hAnsi="宋体"/>
          <w:color w:val="auto"/>
          <w:szCs w:val="21"/>
          <w:highlight w:val="none"/>
        </w:rPr>
        <w:t>天内未能或拒绝签订合同书，</w:t>
      </w:r>
      <w:r>
        <w:rPr>
          <w:rFonts w:hint="eastAsia" w:ascii="宋体" w:hAnsi="宋体"/>
          <w:color w:val="auto"/>
          <w:szCs w:val="21"/>
          <w:highlight w:val="none"/>
        </w:rPr>
        <w:t>或自行转标，贵单位有权没收投标保证金，并另选中标单位。</w:t>
      </w:r>
    </w:p>
    <w:p>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5、如果我方中标我方将按照招标文件的规定提交履约担保。项目验收合格后，方可退还。</w:t>
      </w:r>
    </w:p>
    <w:p>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6、投标有效期为</w:t>
      </w:r>
      <w:r>
        <w:rPr>
          <w:rFonts w:hint="eastAsia" w:ascii="宋体" w:hAnsi="宋体"/>
          <w:color w:val="auto"/>
          <w:szCs w:val="21"/>
          <w:highlight w:val="none"/>
          <w:u w:val="single"/>
        </w:rPr>
        <w:t xml:space="preserve"> 90</w:t>
      </w:r>
      <w:r>
        <w:rPr>
          <w:rFonts w:hint="eastAsia" w:ascii="宋体" w:hAnsi="宋体"/>
          <w:color w:val="auto"/>
          <w:szCs w:val="21"/>
          <w:highlight w:val="none"/>
        </w:rPr>
        <w:t>日历天（从投标截止之日算起）。</w:t>
      </w:r>
    </w:p>
    <w:p>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7、我单位提供如下通讯地址：</w:t>
      </w:r>
      <w:r>
        <w:rPr>
          <w:rFonts w:hint="eastAsia" w:ascii="宋体" w:hAnsi="宋体"/>
          <w:color w:val="auto"/>
          <w:szCs w:val="21"/>
          <w:highlight w:val="none"/>
          <w:u w:val="single"/>
        </w:rPr>
        <w:t xml:space="preserve">                </w:t>
      </w:r>
      <w:r>
        <w:rPr>
          <w:rFonts w:hint="eastAsia" w:ascii="宋体" w:hAnsi="宋体"/>
          <w:color w:val="auto"/>
          <w:szCs w:val="21"/>
          <w:highlight w:val="none"/>
        </w:rPr>
        <w:t>电子邮箱（地址），确认本项目相关法律文书均通过提供的以上地址送达，相关文书只要发送至以上电子邮箱（地址）即视为送达，投标人愿意承担一切法律后果。</w:t>
      </w:r>
    </w:p>
    <w:p>
      <w:pPr>
        <w:spacing w:line="600" w:lineRule="exact"/>
        <w:ind w:firstLine="420" w:firstLineChars="200"/>
        <w:jc w:val="left"/>
        <w:rPr>
          <w:rFonts w:hint="eastAsia" w:ascii="宋体" w:hAnsi="宋体"/>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盖</w:t>
      </w:r>
      <w:r>
        <w:rPr>
          <w:rFonts w:hint="eastAsia" w:ascii="宋体" w:hAnsi="宋体" w:eastAsia="宋体" w:cs="宋体"/>
          <w:color w:val="auto"/>
          <w:szCs w:val="21"/>
          <w:highlight w:val="none"/>
          <w:u w:val="single"/>
        </w:rPr>
        <w:t xml:space="preserve">章）   </w:t>
      </w: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u w:val="single"/>
        </w:rPr>
        <w:t xml:space="preserve">                         （签</w:t>
      </w:r>
      <w:r>
        <w:rPr>
          <w:rFonts w:hint="eastAsia" w:ascii="宋体" w:hAnsi="宋体" w:cs="宋体"/>
          <w:color w:val="auto"/>
          <w:szCs w:val="21"/>
          <w:highlight w:val="none"/>
          <w:u w:val="single"/>
          <w:lang w:val="en-US" w:eastAsia="zh-CN"/>
        </w:rPr>
        <w:t>字或盖</w:t>
      </w:r>
      <w:r>
        <w:rPr>
          <w:rFonts w:hint="eastAsia" w:ascii="宋体" w:hAnsi="宋体" w:eastAsia="宋体" w:cs="宋体"/>
          <w:color w:val="auto"/>
          <w:szCs w:val="21"/>
          <w:highlight w:val="none"/>
          <w:u w:val="single"/>
        </w:rPr>
        <w:t>章）</w:t>
      </w: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单位地址：</w:t>
      </w:r>
      <w:r>
        <w:rPr>
          <w:rFonts w:hint="eastAsia" w:ascii="宋体" w:hAnsi="宋体" w:eastAsia="宋体" w:cs="宋体"/>
          <w:color w:val="auto"/>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电话：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传真：</w:t>
      </w:r>
      <w:r>
        <w:rPr>
          <w:rFonts w:hint="eastAsia" w:ascii="宋体" w:hAnsi="宋体" w:eastAsia="宋体" w:cs="宋体"/>
          <w:color w:val="auto"/>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年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月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highlight w:val="none"/>
        </w:rPr>
      </w:pPr>
    </w:p>
    <w:p>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pPr>
        <w:pStyle w:val="8"/>
        <w:widowControl/>
        <w:adjustRightInd w:val="0"/>
        <w:snapToGrid w:val="0"/>
        <w:spacing w:before="0" w:beforeAutospacing="0" w:after="0" w:afterAutospacing="0" w:line="560" w:lineRule="exact"/>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w:t>
      </w:r>
      <w:r>
        <w:rPr>
          <w:rFonts w:hint="default" w:ascii="Times New Roman" w:hAnsi="Times New Roman" w:eastAsia="宋体" w:cs="Times New Roman"/>
          <w:b/>
          <w:bCs/>
          <w:kern w:val="0"/>
          <w:sz w:val="32"/>
          <w:szCs w:val="32"/>
          <w:highlight w:val="none"/>
        </w:rPr>
        <w:t>2</w:t>
      </w:r>
      <w:r>
        <w:rPr>
          <w:rFonts w:hint="eastAsia" w:ascii="宋体" w:hAnsi="宋体" w:eastAsia="宋体" w:cs="宋体"/>
          <w:b/>
          <w:bCs/>
          <w:kern w:val="0"/>
          <w:sz w:val="32"/>
          <w:szCs w:val="32"/>
          <w:highlight w:val="none"/>
        </w:rPr>
        <w:t>）工程量清单报价书</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b/>
          <w:bCs w:val="0"/>
          <w:kern w:val="2"/>
          <w:sz w:val="24"/>
          <w:szCs w:val="24"/>
          <w:highlight w:val="none"/>
        </w:rPr>
      </w:pP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b/>
          <w:bCs w:val="0"/>
          <w:kern w:val="2"/>
          <w:sz w:val="24"/>
          <w:szCs w:val="24"/>
          <w:highlight w:val="none"/>
        </w:rPr>
      </w:pPr>
      <w:r>
        <w:rPr>
          <w:rFonts w:hint="eastAsia" w:ascii="宋体" w:hAnsi="宋体" w:eastAsia="宋体" w:cs="宋体"/>
          <w:b/>
          <w:bCs w:val="0"/>
          <w:kern w:val="2"/>
          <w:sz w:val="24"/>
          <w:szCs w:val="24"/>
          <w:highlight w:val="none"/>
          <w:lang w:val="en-US" w:eastAsia="zh-CN" w:bidi="ar"/>
        </w:rPr>
        <w:t xml:space="preserve"> </w:t>
      </w:r>
    </w:p>
    <w:p>
      <w:pPr>
        <w:jc w:val="center"/>
        <w:rPr>
          <w:rFonts w:ascii="Calibri" w:hAnsi="Calibri"/>
          <w:sz w:val="32"/>
          <w:szCs w:val="32"/>
        </w:rPr>
      </w:pPr>
      <w:r>
        <w:rPr>
          <w:rFonts w:hint="eastAsia" w:ascii="仿宋_GB2312" w:hAnsi="Calibri" w:eastAsia="仿宋_GB2312"/>
          <w:b/>
          <w:sz w:val="36"/>
          <w:szCs w:val="36"/>
        </w:rPr>
        <w:t>①</w:t>
      </w:r>
      <w:r>
        <w:rPr>
          <w:rFonts w:hint="eastAsia" w:ascii="Calibri" w:hAnsi="Calibri"/>
          <w:b/>
          <w:sz w:val="36"/>
          <w:szCs w:val="36"/>
        </w:rPr>
        <w:t>工程量清单报价书（封面）</w:t>
      </w:r>
    </w:p>
    <w:p>
      <w:pPr>
        <w:jc w:val="center"/>
        <w:rPr>
          <w:rFonts w:ascii="Calibri" w:hAnsi="Calibri"/>
          <w:b/>
          <w:sz w:val="32"/>
          <w:szCs w:val="32"/>
        </w:rPr>
      </w:pPr>
    </w:p>
    <w:p>
      <w:pPr>
        <w:ind w:firstLine="643" w:firstLineChars="200"/>
        <w:jc w:val="center"/>
        <w:rPr>
          <w:rFonts w:ascii="Calibri" w:hAnsi="Calibri"/>
          <w:b/>
          <w:sz w:val="32"/>
          <w:szCs w:val="32"/>
        </w:rPr>
      </w:pPr>
      <w:r>
        <w:rPr>
          <w:rFonts w:hint="eastAsia" w:ascii="Calibri" w:hAnsi="Calibri"/>
          <w:b/>
          <w:sz w:val="32"/>
          <w:szCs w:val="32"/>
        </w:rPr>
        <w:t>投标总价</w:t>
      </w:r>
    </w:p>
    <w:p>
      <w:pPr>
        <w:spacing w:line="800" w:lineRule="exact"/>
        <w:ind w:firstLine="640" w:firstLineChars="200"/>
        <w:rPr>
          <w:rFonts w:ascii="Calibri" w:hAnsi="Calibri"/>
          <w:sz w:val="32"/>
          <w:szCs w:val="32"/>
          <w:u w:val="single"/>
        </w:rPr>
      </w:pPr>
      <w:r>
        <w:rPr>
          <w:rFonts w:hint="eastAsia" w:ascii="Calibri" w:hAnsi="Calibri"/>
          <w:sz w:val="32"/>
          <w:szCs w:val="32"/>
        </w:rPr>
        <w:t>招标人：</w:t>
      </w:r>
      <w:r>
        <w:rPr>
          <w:rFonts w:hint="eastAsia" w:ascii="Calibri" w:hAnsi="Calibri"/>
          <w:sz w:val="32"/>
          <w:szCs w:val="32"/>
          <w:u w:val="single"/>
        </w:rPr>
        <w:t xml:space="preserve">                                                 </w:t>
      </w:r>
    </w:p>
    <w:p>
      <w:pPr>
        <w:spacing w:line="800" w:lineRule="exact"/>
        <w:ind w:firstLine="640" w:firstLineChars="200"/>
        <w:rPr>
          <w:rFonts w:ascii="Calibri" w:hAnsi="Calibri"/>
          <w:sz w:val="32"/>
          <w:szCs w:val="32"/>
        </w:rPr>
      </w:pPr>
      <w:r>
        <w:rPr>
          <w:rFonts w:hint="eastAsia" w:ascii="Calibri" w:hAnsi="Calibri"/>
          <w:sz w:val="32"/>
          <w:szCs w:val="32"/>
        </w:rPr>
        <w:t>工程名称：</w:t>
      </w:r>
      <w:r>
        <w:rPr>
          <w:rFonts w:hint="eastAsia" w:ascii="Calibri" w:hAnsi="Calibri"/>
          <w:sz w:val="32"/>
          <w:szCs w:val="32"/>
          <w:u w:val="single"/>
        </w:rPr>
        <w:t xml:space="preserve">                                               </w:t>
      </w:r>
    </w:p>
    <w:p>
      <w:pPr>
        <w:spacing w:line="800" w:lineRule="exact"/>
        <w:ind w:firstLine="640" w:firstLineChars="200"/>
        <w:rPr>
          <w:rFonts w:ascii="Calibri" w:hAnsi="Calibri"/>
          <w:sz w:val="32"/>
          <w:szCs w:val="32"/>
          <w:u w:val="single"/>
        </w:rPr>
      </w:pPr>
      <w:r>
        <w:rPr>
          <w:rFonts w:hint="eastAsia" w:ascii="Calibri" w:hAnsi="Calibri"/>
          <w:sz w:val="32"/>
          <w:szCs w:val="32"/>
        </w:rPr>
        <w:t>投标总价（小写）：</w:t>
      </w:r>
      <w:r>
        <w:rPr>
          <w:rFonts w:hint="eastAsia" w:ascii="Calibri" w:hAnsi="Calibri"/>
          <w:sz w:val="32"/>
          <w:szCs w:val="32"/>
          <w:u w:val="single"/>
        </w:rPr>
        <w:t xml:space="preserve">                                       </w:t>
      </w:r>
    </w:p>
    <w:p>
      <w:pPr>
        <w:spacing w:line="800" w:lineRule="exact"/>
        <w:ind w:firstLine="1920" w:firstLineChars="600"/>
        <w:rPr>
          <w:rFonts w:ascii="Calibri" w:hAnsi="Calibri"/>
          <w:sz w:val="32"/>
          <w:szCs w:val="32"/>
        </w:rPr>
      </w:pPr>
      <w:r>
        <w:rPr>
          <w:rFonts w:hint="eastAsia" w:ascii="Calibri" w:hAnsi="Calibri"/>
          <w:sz w:val="32"/>
          <w:szCs w:val="32"/>
        </w:rPr>
        <w:t>（大写）：</w:t>
      </w:r>
      <w:r>
        <w:rPr>
          <w:rFonts w:hint="eastAsia" w:ascii="Calibri" w:hAnsi="Calibri"/>
          <w:sz w:val="32"/>
          <w:szCs w:val="32"/>
          <w:u w:val="single"/>
        </w:rPr>
        <w:t xml:space="preserve">                                       </w:t>
      </w:r>
    </w:p>
    <w:p>
      <w:pPr>
        <w:spacing w:line="800" w:lineRule="exact"/>
        <w:ind w:firstLine="640" w:firstLineChars="200"/>
        <w:rPr>
          <w:rFonts w:ascii="Calibri" w:hAnsi="Calibri"/>
          <w:sz w:val="32"/>
          <w:szCs w:val="32"/>
        </w:rPr>
      </w:pPr>
    </w:p>
    <w:p>
      <w:pPr>
        <w:spacing w:line="800" w:lineRule="exact"/>
        <w:ind w:firstLine="640" w:firstLineChars="200"/>
        <w:rPr>
          <w:rFonts w:ascii="Calibri" w:hAnsi="Calibri"/>
          <w:sz w:val="32"/>
          <w:szCs w:val="32"/>
        </w:rPr>
      </w:pPr>
      <w:r>
        <w:rPr>
          <w:rFonts w:hint="eastAsia" w:ascii="Calibri" w:hAnsi="Calibri"/>
          <w:sz w:val="32"/>
          <w:szCs w:val="32"/>
        </w:rPr>
        <w:t>投 标 人：</w:t>
      </w:r>
      <w:r>
        <w:rPr>
          <w:rFonts w:hint="eastAsia" w:ascii="Calibri" w:hAnsi="Calibri"/>
          <w:sz w:val="32"/>
          <w:szCs w:val="32"/>
          <w:u w:val="single"/>
        </w:rPr>
        <w:t xml:space="preserve">                           </w:t>
      </w:r>
      <w:r>
        <w:rPr>
          <w:rFonts w:hint="eastAsia" w:ascii="Calibri" w:hAnsi="Calibri"/>
          <w:sz w:val="32"/>
          <w:szCs w:val="32"/>
        </w:rPr>
        <w:t xml:space="preserve"> (单位盖章)</w:t>
      </w:r>
    </w:p>
    <w:p>
      <w:pPr>
        <w:spacing w:line="800" w:lineRule="exact"/>
        <w:ind w:firstLine="640" w:firstLineChars="200"/>
        <w:rPr>
          <w:rFonts w:ascii="Calibri" w:hAnsi="Calibri"/>
          <w:sz w:val="32"/>
          <w:szCs w:val="32"/>
        </w:rPr>
      </w:pPr>
    </w:p>
    <w:p>
      <w:pPr>
        <w:spacing w:line="800" w:lineRule="exact"/>
        <w:ind w:firstLine="640" w:firstLineChars="200"/>
        <w:rPr>
          <w:rFonts w:ascii="Calibri" w:hAnsi="Calibri"/>
          <w:sz w:val="32"/>
          <w:szCs w:val="32"/>
        </w:rPr>
      </w:pPr>
      <w:r>
        <w:rPr>
          <w:rFonts w:hint="eastAsia" w:ascii="Calibri" w:hAnsi="Calibri"/>
          <w:sz w:val="32"/>
          <w:szCs w:val="32"/>
        </w:rPr>
        <w:t>法定代表人：</w:t>
      </w:r>
      <w:r>
        <w:rPr>
          <w:rFonts w:hint="eastAsia" w:ascii="Calibri" w:hAnsi="Calibri"/>
          <w:sz w:val="32"/>
          <w:szCs w:val="32"/>
          <w:u w:val="single"/>
        </w:rPr>
        <w:t xml:space="preserve">       </w:t>
      </w:r>
      <w:r>
        <w:rPr>
          <w:rFonts w:hint="eastAsia" w:ascii="Calibri" w:hAnsi="Calibri"/>
          <w:sz w:val="32"/>
          <w:szCs w:val="32"/>
          <w:u w:val="single"/>
          <w:lang w:val="en-US" w:eastAsia="zh-CN"/>
        </w:rPr>
        <w:t xml:space="preserve">           </w:t>
      </w:r>
      <w:r>
        <w:rPr>
          <w:rFonts w:hint="eastAsia" w:ascii="Calibri" w:hAnsi="Calibri"/>
          <w:sz w:val="32"/>
          <w:szCs w:val="32"/>
          <w:u w:val="single"/>
        </w:rPr>
        <w:t xml:space="preserve">       </w:t>
      </w:r>
      <w:r>
        <w:rPr>
          <w:rFonts w:hint="eastAsia" w:ascii="Calibri" w:hAnsi="Calibri"/>
          <w:sz w:val="32"/>
          <w:szCs w:val="32"/>
        </w:rPr>
        <w:t xml:space="preserve"> (签字或盖章)</w:t>
      </w:r>
    </w:p>
    <w:p>
      <w:pPr>
        <w:spacing w:line="800" w:lineRule="exact"/>
        <w:ind w:firstLine="640" w:firstLineChars="200"/>
        <w:rPr>
          <w:rFonts w:ascii="Calibri" w:hAnsi="Calibri"/>
          <w:sz w:val="32"/>
          <w:szCs w:val="32"/>
        </w:rPr>
      </w:pPr>
    </w:p>
    <w:p>
      <w:pPr>
        <w:spacing w:line="800" w:lineRule="exact"/>
        <w:ind w:firstLine="640" w:firstLineChars="200"/>
        <w:rPr>
          <w:rFonts w:ascii="Calibri" w:hAnsi="Calibri"/>
          <w:sz w:val="32"/>
          <w:szCs w:val="32"/>
          <w:u w:val="single"/>
        </w:rPr>
      </w:pPr>
      <w:r>
        <w:rPr>
          <w:rFonts w:hint="eastAsia" w:ascii="Calibri" w:hAnsi="Calibri"/>
          <w:sz w:val="32"/>
          <w:szCs w:val="32"/>
        </w:rPr>
        <w:t>编制人：</w:t>
      </w:r>
      <w:r>
        <w:rPr>
          <w:rFonts w:hint="eastAsia" w:ascii="Calibri" w:hAnsi="Calibri"/>
          <w:sz w:val="32"/>
          <w:szCs w:val="32"/>
          <w:u w:val="single"/>
        </w:rPr>
        <w:t xml:space="preserve">                                                 </w:t>
      </w:r>
    </w:p>
    <w:p>
      <w:pPr>
        <w:spacing w:line="800" w:lineRule="exact"/>
        <w:ind w:firstLine="2720" w:firstLineChars="850"/>
        <w:rPr>
          <w:rFonts w:ascii="Calibri" w:hAnsi="Calibri"/>
          <w:sz w:val="32"/>
          <w:szCs w:val="32"/>
          <w:u w:val="single"/>
        </w:rPr>
      </w:pPr>
      <w:r>
        <w:rPr>
          <w:rFonts w:hint="eastAsia" w:ascii="Calibri" w:hAnsi="Calibri"/>
          <w:sz w:val="32"/>
          <w:szCs w:val="32"/>
        </w:rPr>
        <w:t xml:space="preserve"> (注册造价工程师签字并盖执业专用章)</w:t>
      </w:r>
    </w:p>
    <w:p>
      <w:pPr>
        <w:spacing w:line="800" w:lineRule="exact"/>
        <w:ind w:firstLine="640" w:firstLineChars="200"/>
        <w:rPr>
          <w:rFonts w:ascii="Calibri" w:hAnsi="Calibri"/>
          <w:sz w:val="32"/>
          <w:szCs w:val="32"/>
        </w:rPr>
      </w:pPr>
    </w:p>
    <w:p>
      <w:pPr>
        <w:spacing w:line="800" w:lineRule="exact"/>
        <w:ind w:firstLine="640" w:firstLineChars="200"/>
        <w:rPr>
          <w:rFonts w:ascii="Calibri" w:hAnsi="Calibri"/>
          <w:sz w:val="32"/>
          <w:szCs w:val="32"/>
        </w:rPr>
      </w:pPr>
      <w:r>
        <w:rPr>
          <w:rFonts w:hint="eastAsia" w:ascii="Calibri" w:hAnsi="Calibri"/>
          <w:sz w:val="32"/>
          <w:szCs w:val="32"/>
        </w:rPr>
        <w:t>编制时间：</w:t>
      </w:r>
      <w:r>
        <w:rPr>
          <w:rFonts w:hint="eastAsia" w:ascii="Calibri" w:hAnsi="Calibri"/>
          <w:sz w:val="32"/>
          <w:szCs w:val="32"/>
          <w:u w:val="single"/>
        </w:rPr>
        <w:t xml:space="preserve">             </w:t>
      </w:r>
      <w:r>
        <w:rPr>
          <w:rFonts w:hint="eastAsia" w:ascii="Calibri" w:hAnsi="Calibri"/>
          <w:sz w:val="32"/>
          <w:szCs w:val="32"/>
        </w:rPr>
        <w:t>年</w:t>
      </w:r>
      <w:r>
        <w:rPr>
          <w:rFonts w:hint="eastAsia" w:ascii="Calibri" w:hAnsi="Calibri"/>
          <w:sz w:val="32"/>
          <w:szCs w:val="32"/>
          <w:u w:val="single"/>
        </w:rPr>
        <w:t xml:space="preserve">          </w:t>
      </w:r>
      <w:r>
        <w:rPr>
          <w:rFonts w:hint="eastAsia" w:ascii="Calibri" w:hAnsi="Calibri"/>
          <w:sz w:val="32"/>
          <w:szCs w:val="32"/>
        </w:rPr>
        <w:t>月</w:t>
      </w:r>
      <w:r>
        <w:rPr>
          <w:rFonts w:hint="eastAsia" w:ascii="Calibri" w:hAnsi="Calibri"/>
          <w:sz w:val="32"/>
          <w:szCs w:val="32"/>
          <w:u w:val="single"/>
        </w:rPr>
        <w:t xml:space="preserve">          </w:t>
      </w:r>
      <w:r>
        <w:rPr>
          <w:rFonts w:hint="eastAsia" w:ascii="Calibri" w:hAnsi="Calibri"/>
          <w:sz w:val="32"/>
          <w:szCs w:val="32"/>
        </w:rPr>
        <w:t>日</w:t>
      </w:r>
    </w:p>
    <w:p>
      <w:pPr>
        <w:rPr>
          <w:rFonts w:ascii="Calibri" w:hAnsi="Calibri"/>
          <w:sz w:val="32"/>
          <w:szCs w:val="32"/>
        </w:rPr>
      </w:pPr>
    </w:p>
    <w:p>
      <w:pPr>
        <w:jc w:val="center"/>
        <w:rPr>
          <w:rFonts w:ascii="Calibri" w:hAnsi="Calibri"/>
          <w:sz w:val="32"/>
          <w:szCs w:val="32"/>
        </w:rPr>
      </w:pPr>
      <w:r>
        <w:rPr>
          <w:rFonts w:hint="eastAsia" w:ascii="宋体" w:hAnsi="宋体"/>
          <w:sz w:val="32"/>
          <w:szCs w:val="32"/>
        </w:rPr>
        <w:t>②</w:t>
      </w:r>
      <w:r>
        <w:rPr>
          <w:rFonts w:hint="eastAsia" w:ascii="Calibri" w:hAnsi="Calibri"/>
          <w:sz w:val="32"/>
          <w:szCs w:val="32"/>
        </w:rPr>
        <w:t>投标报价编制人信息表</w:t>
      </w:r>
    </w:p>
    <w:p>
      <w:pPr>
        <w:jc w:val="center"/>
        <w:rPr>
          <w:rFonts w:ascii="Calibri" w:hAnsi="Calibri"/>
          <w:sz w:val="32"/>
          <w:szCs w:val="32"/>
        </w:rPr>
      </w:pPr>
    </w:p>
    <w:tbl>
      <w:tblPr>
        <w:tblStyle w:val="46"/>
        <w:tblW w:w="10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216"/>
        <w:gridCol w:w="2951"/>
        <w:gridCol w:w="1737"/>
        <w:gridCol w:w="1563"/>
        <w:gridCol w:w="1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827"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r>
              <w:rPr>
                <w:rFonts w:hint="eastAsia" w:ascii="Calibri" w:hAnsi="Calibri"/>
                <w:szCs w:val="22"/>
              </w:rPr>
              <w:t>序号</w:t>
            </w:r>
          </w:p>
        </w:tc>
        <w:tc>
          <w:tcPr>
            <w:tcW w:w="1216"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r>
              <w:rPr>
                <w:rFonts w:hint="eastAsia" w:ascii="Calibri" w:hAnsi="Calibri"/>
                <w:szCs w:val="22"/>
              </w:rPr>
              <w:t>姓名</w:t>
            </w:r>
          </w:p>
        </w:tc>
        <w:tc>
          <w:tcPr>
            <w:tcW w:w="2951"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r>
              <w:rPr>
                <w:rFonts w:hint="eastAsia" w:ascii="Calibri" w:hAnsi="Calibri"/>
                <w:szCs w:val="22"/>
              </w:rPr>
              <w:t>身份证号码</w:t>
            </w:r>
          </w:p>
        </w:tc>
        <w:tc>
          <w:tcPr>
            <w:tcW w:w="1737"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r>
              <w:rPr>
                <w:rFonts w:hint="eastAsia" w:ascii="Calibri" w:hAnsi="Calibri"/>
                <w:szCs w:val="22"/>
              </w:rPr>
              <w:t>手机号码</w:t>
            </w:r>
          </w:p>
        </w:tc>
        <w:tc>
          <w:tcPr>
            <w:tcW w:w="1563"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r>
              <w:rPr>
                <w:rFonts w:hint="eastAsia" w:ascii="Calibri" w:hAnsi="Calibri"/>
                <w:szCs w:val="22"/>
              </w:rPr>
              <w:t>单位名称</w:t>
            </w:r>
          </w:p>
        </w:tc>
        <w:tc>
          <w:tcPr>
            <w:tcW w:w="1967"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r>
              <w:rPr>
                <w:rFonts w:hint="eastAsia" w:ascii="Calibri" w:hAnsi="Calibri"/>
                <w:szCs w:val="22"/>
              </w:rPr>
              <w:t>注册造价工程师注册证书号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27"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c>
          <w:tcPr>
            <w:tcW w:w="1216"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c>
          <w:tcPr>
            <w:tcW w:w="2951"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c>
          <w:tcPr>
            <w:tcW w:w="1737"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c>
          <w:tcPr>
            <w:tcW w:w="1563"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c>
          <w:tcPr>
            <w:tcW w:w="1967"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827"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c>
          <w:tcPr>
            <w:tcW w:w="1216"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c>
          <w:tcPr>
            <w:tcW w:w="2951"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c>
          <w:tcPr>
            <w:tcW w:w="1737"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c>
          <w:tcPr>
            <w:tcW w:w="1563"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c>
          <w:tcPr>
            <w:tcW w:w="1967" w:type="dxa"/>
            <w:noWrap w:val="0"/>
            <w:vAlign w:val="center"/>
          </w:tcPr>
          <w:p>
            <w:pPr>
              <w:keepNext w:val="0"/>
              <w:keepLines w:val="0"/>
              <w:suppressLineNumbers w:val="0"/>
              <w:spacing w:before="0" w:beforeAutospacing="0" w:after="0" w:afterAutospacing="0"/>
              <w:ind w:left="0" w:right="0"/>
              <w:jc w:val="center"/>
              <w:rPr>
                <w:rFonts w:hint="default" w:ascii="Calibri" w:hAnsi="Calibri"/>
                <w:szCs w:val="22"/>
              </w:rPr>
            </w:pPr>
          </w:p>
        </w:tc>
      </w:tr>
    </w:tbl>
    <w:p>
      <w:pPr>
        <w:rPr>
          <w:rFonts w:ascii="宋体" w:hAnsi="宋体"/>
          <w:b/>
          <w:sz w:val="24"/>
        </w:rPr>
      </w:pPr>
    </w:p>
    <w:p>
      <w:pPr>
        <w:spacing w:line="560" w:lineRule="exact"/>
        <w:rPr>
          <w:rFonts w:ascii="宋体" w:hAnsi="宋体"/>
          <w:b/>
          <w:sz w:val="24"/>
        </w:rPr>
      </w:pPr>
      <w:r>
        <w:rPr>
          <w:rFonts w:hint="eastAsia" w:ascii="宋体" w:hAnsi="宋体"/>
          <w:b/>
          <w:sz w:val="24"/>
        </w:rPr>
        <w:t>注：</w:t>
      </w:r>
    </w:p>
    <w:p>
      <w:pPr>
        <w:spacing w:line="560" w:lineRule="exact"/>
        <w:rPr>
          <w:rFonts w:ascii="宋体" w:hAnsi="宋体"/>
          <w:sz w:val="24"/>
        </w:rPr>
      </w:pPr>
      <w:r>
        <w:rPr>
          <w:rFonts w:hint="eastAsia" w:ascii="宋体" w:hAnsi="宋体"/>
          <w:sz w:val="24"/>
        </w:rPr>
        <w:t>1. 提供投标报价编制人员的注册造</w:t>
      </w:r>
      <w:bookmarkStart w:id="1060" w:name="_GoBack"/>
      <w:bookmarkEnd w:id="1060"/>
      <w:r>
        <w:rPr>
          <w:rFonts w:hint="eastAsia" w:ascii="宋体" w:hAnsi="宋体"/>
          <w:sz w:val="24"/>
        </w:rPr>
        <w:t>价工程师证书扫描件或影印件；</w:t>
      </w:r>
    </w:p>
    <w:p>
      <w:pPr>
        <w:spacing w:line="560" w:lineRule="exact"/>
        <w:rPr>
          <w:rFonts w:ascii="宋体" w:hAnsi="宋体"/>
          <w:sz w:val="24"/>
        </w:rPr>
      </w:pPr>
      <w:r>
        <w:rPr>
          <w:rFonts w:hint="eastAsia" w:ascii="宋体" w:hAnsi="宋体"/>
          <w:sz w:val="24"/>
        </w:rPr>
        <w:t>2. 若投标报价编制人员为投标人委托的造价咨询单位注册造价人员，须提供与造价咨询单位签订的委托协议。</w:t>
      </w:r>
    </w:p>
    <w:p>
      <w:pPr>
        <w:spacing w:line="560" w:lineRule="exact"/>
        <w:rPr>
          <w:rFonts w:ascii="宋体" w:hAnsi="宋体"/>
          <w:sz w:val="24"/>
        </w:rPr>
      </w:pPr>
      <w:r>
        <w:rPr>
          <w:rFonts w:hint="eastAsia" w:ascii="宋体" w:hAnsi="宋体"/>
          <w:sz w:val="24"/>
        </w:rPr>
        <w:t>3. 表格内容将作为公安机关和行政主管部门调查串通投标、允许他人以自己名义从事工程造价业务等违法违规行为的重要依据。</w:t>
      </w:r>
    </w:p>
    <w:p>
      <w:pPr>
        <w:spacing w:line="560" w:lineRule="exact"/>
        <w:rPr>
          <w:rFonts w:ascii="宋体" w:hAnsi="宋体"/>
          <w:sz w:val="24"/>
        </w:rPr>
      </w:pPr>
      <w:r>
        <w:rPr>
          <w:rFonts w:hint="eastAsia" w:ascii="宋体" w:hAnsi="宋体"/>
          <w:sz w:val="24"/>
        </w:rPr>
        <w:t>4. 投标人填写内容务必真实准确，否则将承担投标失败、中标无效的风险。</w:t>
      </w:r>
    </w:p>
    <w:p>
      <w:pPr>
        <w:spacing w:line="560" w:lineRule="exact"/>
        <w:rPr>
          <w:rFonts w:ascii="宋体" w:hAnsi="宋体"/>
          <w:sz w:val="24"/>
        </w:rPr>
      </w:pPr>
    </w:p>
    <w:p>
      <w:pPr>
        <w:spacing w:line="560" w:lineRule="exact"/>
        <w:rPr>
          <w:rFonts w:ascii="宋体" w:hAnsi="宋体"/>
          <w:sz w:val="24"/>
        </w:rPr>
      </w:pPr>
    </w:p>
    <w:p>
      <w:pPr>
        <w:spacing w:line="560" w:lineRule="exact"/>
        <w:ind w:firstLine="480" w:firstLineChars="200"/>
        <w:rPr>
          <w:rFonts w:ascii="宋体" w:hAnsi="宋体"/>
          <w:sz w:val="24"/>
        </w:rPr>
      </w:pPr>
      <w:r>
        <w:rPr>
          <w:rFonts w:hint="eastAsia" w:ascii="宋体" w:hAnsi="宋体"/>
          <w:sz w:val="24"/>
        </w:rPr>
        <w:t>③工程量清单报价书正文格式：见2018版“工程量清单计价文件”格式，在滁州市公共资源交易中心网站下载招标文件后，使用投标文件制作工具导出“招标清单文件”，即为“工程量清单计价文件”正文格式。</w:t>
      </w:r>
    </w:p>
    <w:p>
      <w:pPr>
        <w:rPr>
          <w:rFonts w:ascii="宋体" w:hAnsi="宋体"/>
          <w:sz w:val="24"/>
        </w:rPr>
      </w:pPr>
    </w:p>
    <w:p>
      <w:pPr>
        <w:rPr>
          <w:rFonts w:ascii="宋体" w:hAnsi="宋体"/>
          <w:sz w:val="24"/>
        </w:rPr>
      </w:pPr>
    </w:p>
    <w:p>
      <w:pPr>
        <w:rPr>
          <w:rFonts w:ascii="宋体" w:hAnsi="宋体"/>
          <w:sz w:val="24"/>
        </w:rPr>
      </w:pP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 xml:space="preserve"> </w:t>
      </w:r>
      <w:r>
        <w:rPr>
          <w:rFonts w:hint="eastAsia" w:ascii="Times New Roman" w:hAnsi="Times New Roman"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 xml:space="preserve"> </w:t>
      </w:r>
    </w:p>
    <w:p>
      <w:pPr>
        <w:pStyle w:val="8"/>
        <w:widowControl/>
        <w:adjustRightInd w:val="0"/>
        <w:snapToGrid w:val="0"/>
        <w:spacing w:before="0" w:beforeAutospacing="0" w:after="0" w:afterAutospacing="0" w:line="560" w:lineRule="exact"/>
        <w:jc w:val="center"/>
        <w:rPr>
          <w:rFonts w:hint="eastAsia" w:ascii="宋体" w:hAnsi="宋体" w:eastAsia="宋体" w:cs="宋体"/>
          <w:b/>
          <w:bCs/>
          <w:kern w:val="0"/>
          <w:sz w:val="32"/>
          <w:szCs w:val="32"/>
          <w:highlight w:val="none"/>
        </w:rPr>
      </w:pPr>
    </w:p>
    <w:p>
      <w:pPr>
        <w:pStyle w:val="8"/>
        <w:widowControl/>
        <w:adjustRightInd w:val="0"/>
        <w:snapToGrid w:val="0"/>
        <w:spacing w:before="0" w:beforeAutospacing="0" w:after="0" w:afterAutospacing="0" w:line="560" w:lineRule="exact"/>
        <w:jc w:val="center"/>
        <w:rPr>
          <w:rFonts w:hint="eastAsia" w:ascii="宋体" w:hAnsi="宋体" w:eastAsia="宋体" w:cs="宋体"/>
          <w:color w:val="auto"/>
          <w:szCs w:val="21"/>
          <w:highlight w:val="none"/>
          <w:lang w:eastAsia="zh-CN"/>
        </w:rPr>
      </w:pPr>
      <w:r>
        <w:rPr>
          <w:rFonts w:hint="eastAsia" w:ascii="宋体" w:hAnsi="宋体" w:eastAsia="宋体" w:cs="宋体"/>
          <w:b/>
          <w:bCs/>
          <w:kern w:val="0"/>
          <w:sz w:val="32"/>
          <w:szCs w:val="32"/>
          <w:highlight w:val="none"/>
        </w:rPr>
        <w:t>（</w:t>
      </w:r>
      <w:r>
        <w:rPr>
          <w:rFonts w:hint="default" w:ascii="Times New Roman" w:hAnsi="Times New Roman" w:eastAsia="宋体" w:cs="Times New Roman"/>
          <w:b/>
          <w:bCs/>
          <w:kern w:val="0"/>
          <w:sz w:val="32"/>
          <w:szCs w:val="32"/>
          <w:highlight w:val="none"/>
        </w:rPr>
        <w:t>3</w:t>
      </w:r>
      <w:r>
        <w:rPr>
          <w:rFonts w:hint="eastAsia" w:ascii="宋体" w:hAnsi="宋体" w:eastAsia="宋体" w:cs="宋体"/>
          <w:b/>
          <w:bCs/>
          <w:kern w:val="0"/>
          <w:sz w:val="32"/>
          <w:szCs w:val="32"/>
          <w:highlight w:val="none"/>
        </w:rPr>
        <w:t>）详细评审所需其他材料（如有）</w:t>
      </w:r>
    </w:p>
    <w:p>
      <w:pPr>
        <w:pStyle w:val="43"/>
        <w:spacing w:beforeLines="50" w:afterLines="50" w:line="440" w:lineRule="exact"/>
        <w:rPr>
          <w:rFonts w:hint="eastAsia" w:ascii="仿宋_GB2312" w:hAnsi="宋体" w:eastAsia="仿宋_GB2312"/>
          <w:b/>
          <w:color w:val="auto"/>
          <w:sz w:val="32"/>
          <w:szCs w:val="32"/>
          <w:highlight w:val="none"/>
        </w:rPr>
      </w:pPr>
      <w:r>
        <w:rPr>
          <w:rFonts w:hint="eastAsia"/>
          <w:color w:val="auto"/>
          <w:sz w:val="32"/>
          <w:szCs w:val="32"/>
          <w:highlight w:val="none"/>
        </w:rPr>
        <w:br w:type="page"/>
      </w:r>
      <w:bookmarkEnd w:id="7"/>
      <w:bookmarkEnd w:id="8"/>
      <w:bookmarkEnd w:id="9"/>
      <w:bookmarkEnd w:id="10"/>
      <w:bookmarkEnd w:id="11"/>
      <w:bookmarkEnd w:id="1051"/>
      <w:bookmarkEnd w:id="1052"/>
      <w:bookmarkEnd w:id="1053"/>
      <w:bookmarkEnd w:id="1054"/>
      <w:bookmarkStart w:id="1055" w:name="_Toc78803402"/>
    </w:p>
    <w:p>
      <w:pPr>
        <w:pStyle w:val="43"/>
        <w:spacing w:beforeLines="50" w:afterLines="50" w:line="440" w:lineRule="exact"/>
        <w:rPr>
          <w:bCs/>
          <w:color w:val="auto"/>
          <w:szCs w:val="32"/>
          <w:highlight w:val="none"/>
        </w:rPr>
      </w:pPr>
      <w:bookmarkStart w:id="1056" w:name="_Toc15593"/>
      <w:bookmarkStart w:id="1057" w:name="_Toc29114"/>
      <w:r>
        <w:rPr>
          <w:rFonts w:hint="eastAsia"/>
          <w:bCs/>
          <w:color w:val="auto"/>
          <w:szCs w:val="32"/>
          <w:highlight w:val="none"/>
        </w:rPr>
        <w:t>第</w:t>
      </w:r>
      <w:r>
        <w:rPr>
          <w:rFonts w:hint="eastAsia"/>
          <w:bCs/>
          <w:color w:val="auto"/>
          <w:szCs w:val="32"/>
          <w:highlight w:val="none"/>
          <w:lang w:val="en-US" w:eastAsia="zh-CN"/>
        </w:rPr>
        <w:t>八</w:t>
      </w:r>
      <w:r>
        <w:rPr>
          <w:rFonts w:hint="eastAsia"/>
          <w:bCs/>
          <w:color w:val="auto"/>
          <w:szCs w:val="32"/>
          <w:highlight w:val="none"/>
        </w:rPr>
        <w:t>章  招标单位、招标代理机构对本招标文件的确认</w:t>
      </w:r>
      <w:bookmarkEnd w:id="1055"/>
      <w:bookmarkEnd w:id="1056"/>
      <w:bookmarkEnd w:id="1057"/>
    </w:p>
    <w:p>
      <w:pPr>
        <w:pStyle w:val="20"/>
        <w:rPr>
          <w:color w:val="auto"/>
          <w:highlight w:val="none"/>
        </w:rPr>
      </w:pPr>
    </w:p>
    <w:tbl>
      <w:tblPr>
        <w:tblStyle w:val="46"/>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9" w:hRule="atLeast"/>
          <w:jc w:val="center"/>
        </w:trPr>
        <w:tc>
          <w:tcPr>
            <w:tcW w:w="9580" w:type="dxa"/>
            <w:noWrap/>
          </w:tcPr>
          <w:p>
            <w:pPr>
              <w:keepNext w:val="0"/>
              <w:keepLines w:val="0"/>
              <w:suppressLineNumbers w:val="0"/>
              <w:wordWrap w:val="0"/>
              <w:adjustRightInd w:val="0"/>
              <w:snapToGrid w:val="0"/>
              <w:spacing w:before="0" w:beforeAutospacing="0" w:after="0" w:afterAutospacing="0" w:line="560" w:lineRule="exact"/>
              <w:ind w:left="0" w:right="0"/>
              <w:rPr>
                <w:rFonts w:hint="default"/>
                <w:color w:val="auto"/>
                <w:sz w:val="30"/>
                <w:highlight w:val="none"/>
              </w:rPr>
            </w:pPr>
          </w:p>
          <w:p>
            <w:pPr>
              <w:keepNext w:val="0"/>
              <w:keepLines w:val="0"/>
              <w:suppressLineNumbers w:val="0"/>
              <w:spacing w:before="0" w:beforeAutospacing="0" w:after="0" w:afterAutospacing="0" w:line="560" w:lineRule="exact"/>
              <w:ind w:left="0" w:right="0" w:firstLine="560" w:firstLineChars="200"/>
              <w:rPr>
                <w:rFonts w:hint="default"/>
                <w:color w:val="auto"/>
                <w:sz w:val="28"/>
                <w:szCs w:val="28"/>
                <w:highlight w:val="none"/>
              </w:rPr>
            </w:pPr>
            <w:r>
              <w:rPr>
                <w:rFonts w:hint="eastAsia"/>
                <w:color w:val="auto"/>
                <w:sz w:val="28"/>
                <w:szCs w:val="28"/>
                <w:highlight w:val="none"/>
              </w:rPr>
              <w:t>我单位对</w:t>
            </w:r>
            <w:r>
              <w:rPr>
                <w:rFonts w:hint="eastAsia"/>
                <w:color w:val="auto"/>
                <w:sz w:val="28"/>
                <w:szCs w:val="28"/>
                <w:highlight w:val="none"/>
                <w:u w:val="single"/>
              </w:rPr>
              <w:t xml:space="preserve"> 滁州市建筑垃圾综合处置项目土方平整工程 </w:t>
            </w:r>
            <w:r>
              <w:rPr>
                <w:rFonts w:hint="eastAsia"/>
                <w:color w:val="auto"/>
                <w:sz w:val="28"/>
                <w:szCs w:val="28"/>
                <w:highlight w:val="none"/>
              </w:rPr>
              <w:t>的招标文件进行确认。</w:t>
            </w:r>
          </w:p>
          <w:p>
            <w:pPr>
              <w:keepNext w:val="0"/>
              <w:keepLines w:val="0"/>
              <w:suppressLineNumbers w:val="0"/>
              <w:spacing w:before="0" w:beforeAutospacing="0" w:after="0" w:afterAutospacing="0" w:line="560" w:lineRule="exact"/>
              <w:ind w:left="0" w:right="0" w:firstLine="600" w:firstLineChars="200"/>
              <w:rPr>
                <w:rFonts w:hint="eastAsia" w:ascii="宋体" w:cs="宋体"/>
                <w:sz w:val="30"/>
                <w:szCs w:val="30"/>
              </w:rPr>
            </w:pPr>
            <w:r>
              <w:rPr>
                <w:rFonts w:hint="eastAsia" w:ascii="宋体" w:cs="宋体"/>
                <w:sz w:val="30"/>
                <w:szCs w:val="30"/>
              </w:rPr>
              <w:t>招标单位：滁州市皖能兴滁环境科技有限公司</w:t>
            </w:r>
          </w:p>
          <w:p>
            <w:pPr>
              <w:keepNext w:val="0"/>
              <w:keepLines w:val="0"/>
              <w:suppressLineNumbers w:val="0"/>
              <w:spacing w:before="0" w:beforeAutospacing="0" w:after="0" w:afterAutospacing="0" w:line="560" w:lineRule="exact"/>
              <w:ind w:left="0" w:right="0" w:firstLine="600" w:firstLineChars="200"/>
              <w:rPr>
                <w:rFonts w:hint="eastAsia" w:ascii="宋体" w:cs="宋体"/>
                <w:sz w:val="30"/>
                <w:szCs w:val="30"/>
              </w:rPr>
            </w:pPr>
            <w:r>
              <w:rPr>
                <w:rFonts w:hint="eastAsia" w:ascii="宋体" w:cs="宋体"/>
                <w:sz w:val="30"/>
                <w:szCs w:val="30"/>
              </w:rPr>
              <w:t xml:space="preserve">经 办 人：陈倩倩、江玉龙 </w:t>
            </w:r>
          </w:p>
          <w:p>
            <w:pPr>
              <w:keepNext w:val="0"/>
              <w:keepLines w:val="0"/>
              <w:suppressLineNumbers w:val="0"/>
              <w:spacing w:before="0" w:beforeAutospacing="0" w:after="0" w:afterAutospacing="0" w:line="560" w:lineRule="exact"/>
              <w:ind w:left="0" w:right="0" w:firstLine="600" w:firstLineChars="200"/>
              <w:rPr>
                <w:rFonts w:hint="eastAsia" w:ascii="宋体" w:cs="宋体"/>
                <w:sz w:val="30"/>
                <w:szCs w:val="30"/>
              </w:rPr>
            </w:pPr>
            <w:r>
              <w:rPr>
                <w:rFonts w:hint="eastAsia" w:ascii="宋体" w:cs="宋体"/>
                <w:sz w:val="30"/>
                <w:szCs w:val="30"/>
              </w:rPr>
              <w:t xml:space="preserve">联系电话：18726618862、18130062551 </w:t>
            </w:r>
          </w:p>
          <w:p>
            <w:pPr>
              <w:keepNext w:val="0"/>
              <w:keepLines w:val="0"/>
              <w:suppressLineNumbers w:val="0"/>
              <w:wordWrap w:val="0"/>
              <w:spacing w:before="0" w:beforeAutospacing="0" w:after="0" w:afterAutospacing="0" w:line="560" w:lineRule="exact"/>
              <w:ind w:left="0" w:right="0" w:firstLine="560" w:firstLineChars="200"/>
              <w:rPr>
                <w:rFonts w:hint="default" w:ascii="宋体" w:hAnsi="宋体"/>
                <w:color w:val="auto"/>
                <w:sz w:val="28"/>
                <w:szCs w:val="28"/>
                <w:highlight w:val="none"/>
              </w:rPr>
            </w:pPr>
            <w:r>
              <w:rPr>
                <w:rFonts w:hint="eastAsia" w:ascii="宋体" w:hAnsi="宋体"/>
                <w:sz w:val="28"/>
                <w:szCs w:val="28"/>
              </w:rPr>
              <w:t xml:space="preserve">                                          </w:t>
            </w:r>
            <w:r>
              <w:rPr>
                <w:rFonts w:hint="eastAsia" w:ascii="宋体" w:hAnsi="宋体"/>
                <w:color w:val="auto"/>
                <w:sz w:val="28"/>
                <w:szCs w:val="28"/>
                <w:highlight w:val="none"/>
              </w:rPr>
              <w:t xml:space="preserve">    </w:t>
            </w:r>
            <w:r>
              <w:rPr>
                <w:rFonts w:hint="eastAsia" w:ascii="宋体" w:hAnsi="宋体"/>
                <w:color w:val="auto"/>
                <w:sz w:val="28"/>
                <w:szCs w:val="28"/>
                <w:highlight w:val="none"/>
                <w:lang w:val="en-US" w:eastAsia="zh-CN"/>
              </w:rPr>
              <w:t xml:space="preserve">    </w:t>
            </w:r>
          </w:p>
          <w:p>
            <w:pPr>
              <w:keepNext w:val="0"/>
              <w:keepLines w:val="0"/>
              <w:suppressLineNumbers w:val="0"/>
              <w:wordWrap w:val="0"/>
              <w:spacing w:before="0" w:beforeAutospacing="0" w:after="0" w:afterAutospacing="0" w:line="560" w:lineRule="exact"/>
              <w:ind w:left="0" w:right="0" w:firstLine="560" w:firstLineChars="200"/>
              <w:rPr>
                <w:rFonts w:hint="default" w:ascii="宋体" w:hAnsi="宋体"/>
                <w:color w:val="auto"/>
                <w:sz w:val="28"/>
                <w:szCs w:val="28"/>
                <w:highlight w:val="none"/>
              </w:rPr>
            </w:pPr>
          </w:p>
          <w:p>
            <w:pPr>
              <w:keepNext w:val="0"/>
              <w:keepLines w:val="0"/>
              <w:suppressLineNumbers w:val="0"/>
              <w:wordWrap w:val="0"/>
              <w:spacing w:before="0" w:beforeAutospacing="0" w:after="0" w:afterAutospacing="0" w:line="560" w:lineRule="exact"/>
              <w:ind w:left="0" w:right="0" w:firstLine="560" w:firstLineChars="200"/>
              <w:rPr>
                <w:rFonts w:hint="default" w:ascii="宋体" w:hAnsi="宋体"/>
                <w:color w:val="auto"/>
                <w:sz w:val="28"/>
                <w:szCs w:val="28"/>
                <w:highlight w:val="none"/>
              </w:rPr>
            </w:pPr>
          </w:p>
          <w:p>
            <w:pPr>
              <w:keepNext w:val="0"/>
              <w:keepLines w:val="0"/>
              <w:suppressLineNumbers w:val="0"/>
              <w:wordWrap w:val="0"/>
              <w:spacing w:before="0" w:beforeAutospacing="0" w:after="0" w:afterAutospacing="0" w:line="560" w:lineRule="exact"/>
              <w:ind w:left="0" w:right="0" w:firstLine="5740" w:firstLineChars="2050"/>
              <w:rPr>
                <w:rFonts w:hint="default" w:ascii="宋体" w:hAnsi="宋体"/>
                <w:color w:val="auto"/>
                <w:sz w:val="28"/>
                <w:szCs w:val="28"/>
                <w:highlight w:val="none"/>
              </w:rPr>
            </w:pPr>
            <w:r>
              <w:rPr>
                <w:rFonts w:hint="eastAsia" w:ascii="宋体" w:hAnsi="宋体"/>
                <w:color w:val="auto"/>
                <w:sz w:val="28"/>
                <w:szCs w:val="28"/>
                <w:highlight w:val="none"/>
              </w:rPr>
              <w:t>（单位盖章）</w:t>
            </w:r>
          </w:p>
          <w:p>
            <w:pPr>
              <w:keepNext w:val="0"/>
              <w:keepLines w:val="0"/>
              <w:suppressLineNumbers w:val="0"/>
              <w:spacing w:before="0" w:beforeAutospacing="0" w:after="0" w:afterAutospacing="0" w:line="560" w:lineRule="exact"/>
              <w:ind w:left="0" w:right="0" w:firstLine="5880" w:firstLineChars="2100"/>
              <w:rPr>
                <w:rFonts w:hint="default" w:ascii="宋体" w:hAnsi="宋体" w:eastAsia="宋体"/>
                <w:color w:val="auto"/>
                <w:sz w:val="28"/>
                <w:szCs w:val="28"/>
                <w:highlight w:val="none"/>
                <w:lang w:val="en-US" w:eastAsia="zh-CN"/>
              </w:rPr>
            </w:pPr>
            <w:r>
              <w:rPr>
                <w:rFonts w:hint="eastAsia" w:ascii="宋体" w:hAnsi="宋体"/>
                <w:color w:val="auto"/>
                <w:sz w:val="28"/>
                <w:szCs w:val="28"/>
                <w:highlight w:val="none"/>
              </w:rPr>
              <w:t>202</w:t>
            </w:r>
            <w:r>
              <w:rPr>
                <w:rFonts w:hint="eastAsia" w:ascii="宋体" w:hAnsi="宋体"/>
                <w:color w:val="auto"/>
                <w:sz w:val="28"/>
                <w:szCs w:val="28"/>
                <w:highlight w:val="none"/>
                <w:lang w:val="en-US" w:eastAsia="zh-CN"/>
              </w:rPr>
              <w:t>4</w:t>
            </w:r>
            <w:r>
              <w:rPr>
                <w:rFonts w:hint="eastAsia" w:ascii="宋体" w:hAnsi="宋体"/>
                <w:color w:val="auto"/>
                <w:sz w:val="28"/>
                <w:szCs w:val="28"/>
                <w:highlight w:val="none"/>
              </w:rPr>
              <w:t>年</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6日</w:t>
            </w:r>
          </w:p>
          <w:p>
            <w:pPr>
              <w:pStyle w:val="2"/>
              <w:keepNext w:val="0"/>
              <w:keepLines w:val="0"/>
              <w:suppressLineNumbers w:val="0"/>
              <w:spacing w:before="0" w:beforeAutospacing="0" w:after="0" w:afterAutospacing="0"/>
              <w:ind w:right="0" w:firstLine="420"/>
              <w:rPr>
                <w:rFonts w:hint="default"/>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6" w:hRule="atLeast"/>
          <w:jc w:val="center"/>
        </w:trPr>
        <w:tc>
          <w:tcPr>
            <w:tcW w:w="9580" w:type="dxa"/>
            <w:noWrap/>
          </w:tcPr>
          <w:p>
            <w:pPr>
              <w:keepNext w:val="0"/>
              <w:keepLines w:val="0"/>
              <w:suppressLineNumbers w:val="0"/>
              <w:spacing w:before="0" w:beforeAutospacing="0" w:after="0" w:afterAutospacing="0" w:line="560" w:lineRule="exact"/>
              <w:ind w:left="0" w:right="0" w:firstLine="560" w:firstLineChars="200"/>
              <w:rPr>
                <w:rFonts w:hint="default" w:ascii="宋体" w:hAnsi="宋体" w:cs="宋体"/>
                <w:color w:val="auto"/>
                <w:sz w:val="28"/>
                <w:szCs w:val="28"/>
                <w:highlight w:val="none"/>
              </w:rPr>
            </w:pPr>
          </w:p>
          <w:p>
            <w:pPr>
              <w:keepNext w:val="0"/>
              <w:keepLines w:val="0"/>
              <w:suppressLineNumbers w:val="0"/>
              <w:spacing w:before="0" w:beforeAutospacing="0" w:after="0" w:afterAutospacing="0" w:line="560" w:lineRule="exact"/>
              <w:ind w:left="0" w:right="0" w:firstLine="560" w:firstLineChars="200"/>
              <w:rPr>
                <w:rFonts w:hint="default" w:ascii="宋体" w:hAnsi="宋体" w:cs="宋体"/>
                <w:color w:val="auto"/>
                <w:sz w:val="28"/>
                <w:szCs w:val="28"/>
                <w:highlight w:val="none"/>
                <w:u w:val="single"/>
              </w:rPr>
            </w:pPr>
            <w:r>
              <w:rPr>
                <w:rFonts w:hint="eastAsia" w:ascii="宋体" w:hAnsi="宋体" w:cs="宋体"/>
                <w:color w:val="auto"/>
                <w:sz w:val="28"/>
                <w:szCs w:val="28"/>
                <w:highlight w:val="none"/>
              </w:rPr>
              <w:t>招标代理机构：</w:t>
            </w:r>
            <w:r>
              <w:rPr>
                <w:rFonts w:hint="eastAsia"/>
                <w:color w:val="auto"/>
                <w:sz w:val="28"/>
                <w:szCs w:val="28"/>
                <w:highlight w:val="none"/>
              </w:rPr>
              <w:t>滁州市城投工程咨询管理有限公司</w:t>
            </w:r>
          </w:p>
          <w:p>
            <w:pPr>
              <w:keepNext w:val="0"/>
              <w:keepLines w:val="0"/>
              <w:suppressLineNumbers w:val="0"/>
              <w:spacing w:before="0" w:beforeAutospacing="0" w:after="0" w:afterAutospacing="0" w:line="560" w:lineRule="exact"/>
              <w:ind w:left="0" w:right="0" w:firstLine="560" w:firstLineChars="200"/>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联 系 人：</w:t>
            </w:r>
            <w:r>
              <w:rPr>
                <w:rFonts w:hint="eastAsia" w:ascii="宋体" w:hAnsi="宋体" w:cs="宋体"/>
                <w:color w:val="auto"/>
                <w:sz w:val="28"/>
                <w:szCs w:val="28"/>
                <w:highlight w:val="none"/>
                <w:lang w:val="en-US" w:eastAsia="zh-CN"/>
              </w:rPr>
              <w:t>田甜</w:t>
            </w:r>
          </w:p>
          <w:p>
            <w:pPr>
              <w:keepNext w:val="0"/>
              <w:keepLines w:val="0"/>
              <w:suppressLineNumbers w:val="0"/>
              <w:spacing w:before="0" w:beforeAutospacing="0" w:after="0" w:afterAutospacing="0" w:line="560" w:lineRule="exact"/>
              <w:ind w:left="0" w:right="0" w:firstLine="560" w:firstLineChars="200"/>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联系方式：0550-351951</w:t>
            </w:r>
            <w:r>
              <w:rPr>
                <w:rFonts w:hint="eastAsia" w:ascii="宋体" w:hAnsi="宋体" w:cs="宋体"/>
                <w:color w:val="auto"/>
                <w:sz w:val="28"/>
                <w:szCs w:val="28"/>
                <w:highlight w:val="none"/>
                <w:lang w:val="en-US" w:eastAsia="zh-CN"/>
              </w:rPr>
              <w:t>9</w:t>
            </w:r>
            <w:r>
              <w:rPr>
                <w:rFonts w:hint="eastAsia" w:ascii="宋体" w:hAnsi="宋体" w:cs="宋体"/>
                <w:color w:val="auto"/>
                <w:sz w:val="28"/>
                <w:szCs w:val="28"/>
                <w:highlight w:val="none"/>
              </w:rPr>
              <w:t>、</w:t>
            </w:r>
            <w:r>
              <w:rPr>
                <w:rFonts w:hint="eastAsia" w:ascii="宋体" w:hAnsi="宋体" w:cs="宋体"/>
                <w:color w:val="auto"/>
                <w:sz w:val="28"/>
                <w:szCs w:val="28"/>
                <w:highlight w:val="none"/>
                <w:lang w:val="en-US" w:eastAsia="zh-CN"/>
              </w:rPr>
              <w:t>15955005370</w:t>
            </w:r>
          </w:p>
          <w:p>
            <w:pPr>
              <w:keepNext w:val="0"/>
              <w:keepLines w:val="0"/>
              <w:suppressLineNumbers w:val="0"/>
              <w:spacing w:before="0" w:beforeAutospacing="0" w:after="0" w:afterAutospacing="0" w:line="560" w:lineRule="exact"/>
              <w:ind w:left="0" w:right="0" w:firstLine="5040" w:firstLineChars="1800"/>
              <w:rPr>
                <w:rFonts w:hint="default" w:ascii="宋体" w:hAnsi="宋体" w:cs="宋体"/>
                <w:color w:val="auto"/>
                <w:sz w:val="28"/>
                <w:szCs w:val="28"/>
                <w:highlight w:val="none"/>
              </w:rPr>
            </w:pPr>
          </w:p>
          <w:p>
            <w:pPr>
              <w:keepNext w:val="0"/>
              <w:keepLines w:val="0"/>
              <w:suppressLineNumbers w:val="0"/>
              <w:spacing w:before="0" w:beforeAutospacing="0" w:after="0" w:afterAutospacing="0" w:line="560" w:lineRule="exact"/>
              <w:ind w:left="0" w:right="0" w:firstLine="5460" w:firstLineChars="1950"/>
              <w:rPr>
                <w:rFonts w:hint="default" w:ascii="宋体" w:hAnsi="宋体" w:cs="宋体"/>
                <w:color w:val="auto"/>
                <w:sz w:val="28"/>
                <w:szCs w:val="28"/>
                <w:highlight w:val="none"/>
              </w:rPr>
            </w:pPr>
          </w:p>
          <w:p>
            <w:pPr>
              <w:keepNext w:val="0"/>
              <w:keepLines w:val="0"/>
              <w:suppressLineNumbers w:val="0"/>
              <w:spacing w:before="0" w:beforeAutospacing="0" w:after="0" w:afterAutospacing="0" w:line="560" w:lineRule="exact"/>
              <w:ind w:left="0" w:right="0" w:firstLine="5880" w:firstLineChars="2100"/>
              <w:rPr>
                <w:rFonts w:hint="default" w:ascii="宋体" w:hAnsi="宋体" w:cs="宋体"/>
                <w:color w:val="auto"/>
                <w:sz w:val="28"/>
                <w:szCs w:val="28"/>
                <w:highlight w:val="none"/>
              </w:rPr>
            </w:pPr>
            <w:r>
              <w:rPr>
                <w:rFonts w:hint="eastAsia" w:ascii="宋体" w:hAnsi="宋体" w:cs="宋体"/>
                <w:color w:val="auto"/>
                <w:sz w:val="28"/>
                <w:szCs w:val="28"/>
                <w:highlight w:val="none"/>
              </w:rPr>
              <w:t>（单位盖章）</w:t>
            </w:r>
          </w:p>
          <w:p>
            <w:pPr>
              <w:keepNext w:val="0"/>
              <w:keepLines w:val="0"/>
              <w:suppressLineNumbers w:val="0"/>
              <w:spacing w:before="0" w:beforeAutospacing="0" w:after="0" w:afterAutospacing="0" w:line="560" w:lineRule="exact"/>
              <w:ind w:left="0" w:right="0" w:firstLine="5880" w:firstLineChars="2100"/>
              <w:rPr>
                <w:rFonts w:hint="default" w:ascii="宋体" w:hAnsi="宋体" w:eastAsia="宋体"/>
                <w:color w:val="auto"/>
                <w:sz w:val="28"/>
                <w:szCs w:val="28"/>
                <w:highlight w:val="none"/>
                <w:lang w:val="en-US" w:eastAsia="zh-CN"/>
              </w:rPr>
            </w:pPr>
            <w:r>
              <w:rPr>
                <w:rFonts w:hint="eastAsia" w:ascii="宋体" w:hAnsi="宋体"/>
                <w:color w:val="auto"/>
                <w:sz w:val="28"/>
                <w:szCs w:val="28"/>
                <w:highlight w:val="none"/>
              </w:rPr>
              <w:t>202</w:t>
            </w:r>
            <w:r>
              <w:rPr>
                <w:rFonts w:hint="eastAsia" w:ascii="宋体" w:hAnsi="宋体"/>
                <w:color w:val="auto"/>
                <w:sz w:val="28"/>
                <w:szCs w:val="28"/>
                <w:highlight w:val="none"/>
                <w:lang w:val="en-US" w:eastAsia="zh-CN"/>
              </w:rPr>
              <w:t>4</w:t>
            </w:r>
            <w:r>
              <w:rPr>
                <w:rFonts w:hint="eastAsia" w:ascii="宋体" w:hAnsi="宋体"/>
                <w:color w:val="auto"/>
                <w:sz w:val="28"/>
                <w:szCs w:val="28"/>
                <w:highlight w:val="none"/>
              </w:rPr>
              <w:t>年</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6日</w:t>
            </w:r>
          </w:p>
          <w:p>
            <w:pPr>
              <w:pStyle w:val="2"/>
              <w:keepNext w:val="0"/>
              <w:keepLines w:val="0"/>
              <w:suppressLineNumbers w:val="0"/>
              <w:spacing w:before="0" w:beforeAutospacing="0" w:after="0" w:afterAutospacing="0"/>
              <w:ind w:right="0" w:firstLine="420"/>
              <w:rPr>
                <w:rFonts w:hint="default"/>
                <w:color w:val="auto"/>
                <w:highlight w:val="none"/>
              </w:rPr>
            </w:pPr>
          </w:p>
        </w:tc>
      </w:tr>
    </w:tbl>
    <w:p>
      <w:pPr>
        <w:pStyle w:val="6"/>
        <w:spacing w:before="200" w:after="200" w:line="600" w:lineRule="exact"/>
        <w:rPr>
          <w:rFonts w:hint="eastAsia" w:ascii="黑体" w:hAnsi="黑体" w:eastAsia="黑体"/>
          <w:color w:val="000000"/>
          <w:sz w:val="36"/>
          <w:szCs w:val="28"/>
        </w:rPr>
      </w:pPr>
      <w:bookmarkStart w:id="1058" w:name="_Toc95223548"/>
    </w:p>
    <w:p>
      <w:pPr>
        <w:pStyle w:val="6"/>
        <w:spacing w:before="200" w:after="200" w:line="600" w:lineRule="exact"/>
        <w:rPr>
          <w:rFonts w:hint="eastAsia" w:ascii="黑体" w:hAnsi="黑体" w:eastAsia="黑体"/>
          <w:color w:val="000000"/>
          <w:sz w:val="28"/>
          <w:szCs w:val="28"/>
        </w:rPr>
      </w:pPr>
      <w:r>
        <w:rPr>
          <w:rFonts w:hint="eastAsia" w:ascii="黑体" w:hAnsi="黑体" w:eastAsia="黑体"/>
          <w:color w:val="000000"/>
          <w:sz w:val="36"/>
          <w:szCs w:val="28"/>
        </w:rPr>
        <w:t>附件1 关于联合惩戒失信行为加强信用查询管理的通知</w:t>
      </w:r>
      <w:bookmarkEnd w:id="1058"/>
    </w:p>
    <w:p>
      <w:pPr>
        <w:adjustRightInd w:val="0"/>
        <w:snapToGrid w:val="0"/>
        <w:spacing w:line="560" w:lineRule="exact"/>
        <w:ind w:firstLine="562" w:firstLineChars="200"/>
        <w:rPr>
          <w:rFonts w:hint="eastAsia" w:ascii="仿宋_GB2312" w:hAnsi="宋体" w:eastAsia="仿宋_GB2312"/>
          <w:b/>
          <w:color w:val="000000"/>
          <w:sz w:val="28"/>
          <w:szCs w:val="28"/>
        </w:rPr>
      </w:pPr>
      <w:r>
        <w:rPr>
          <w:rFonts w:hint="eastAsia" w:ascii="仿宋_GB2312" w:hAnsi="宋体" w:eastAsia="仿宋_GB2312"/>
          <w:b/>
          <w:color w:val="000000"/>
          <w:sz w:val="28"/>
          <w:szCs w:val="28"/>
        </w:rPr>
        <w:t>一、失信行为联合惩戒的范围和查询渠道</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在我市公共资源交易活动中对存在下列失信行为的投标人、法定代表人及其项目经理（建造师）实施联合惩戒，禁止参与我市公共资源交易活动。</w:t>
      </w:r>
    </w:p>
    <w:p>
      <w:pPr>
        <w:adjustRightInd w:val="0"/>
        <w:snapToGrid w:val="0"/>
        <w:spacing w:line="560" w:lineRule="exact"/>
        <w:ind w:firstLine="562" w:firstLineChars="200"/>
        <w:rPr>
          <w:rFonts w:hint="eastAsia" w:ascii="仿宋_GB2312" w:hAnsi="宋体" w:eastAsia="仿宋_GB2312"/>
          <w:b/>
          <w:color w:val="000000"/>
          <w:sz w:val="28"/>
          <w:szCs w:val="28"/>
        </w:rPr>
      </w:pPr>
      <w:r>
        <w:rPr>
          <w:rFonts w:hint="eastAsia" w:ascii="仿宋_GB2312" w:hAnsi="宋体" w:eastAsia="仿宋_GB2312"/>
          <w:b/>
          <w:color w:val="000000"/>
          <w:sz w:val="28"/>
          <w:szCs w:val="28"/>
        </w:rPr>
        <w:t>（一）工程建设项目</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1、“信用中国”网站（www.creditchina.gov.cn）查询以下失信行为：</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①投标人被人民法院列入失信被执行人的；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②投标人被税务部门列入重大税收违法案件当事人的；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③投标人被人力资源社会保障主管部门列入拖欠农民工工资“黑名单”的；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④在“信用中国”网站上披露的仍在公示期的严重失信行为的。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2、国家企业信用信息公示系统网站（</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HYPERLINK "http://www.gsxt.gov.cn）查询"</w:instrText>
      </w:r>
      <w:r>
        <w:rPr>
          <w:rFonts w:hint="eastAsia" w:ascii="仿宋_GB2312" w:hAnsi="宋体" w:eastAsia="仿宋_GB2312"/>
          <w:color w:val="000000"/>
          <w:sz w:val="28"/>
          <w:szCs w:val="28"/>
        </w:rPr>
        <w:fldChar w:fldCharType="separate"/>
      </w:r>
      <w:r>
        <w:rPr>
          <w:rFonts w:hint="eastAsia" w:ascii="仿宋_GB2312" w:hAnsi="宋体" w:eastAsia="仿宋_GB2312"/>
          <w:color w:val="000000"/>
          <w:sz w:val="28"/>
          <w:szCs w:val="28"/>
        </w:rPr>
        <w:t>www.gsxt.gov.cn）</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查询以下失信行为：</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①被市场监督管理部门列入经营异常名录或者严重违法企业名单的。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3、滁州市公共资源交易中心网站（http://ggzy.chuzhou.gov.cn/）查询以下失信行为：</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被滁州市县两级公管部门取消在一定期限内的投标资格且在取消期限内的。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4、由竞争主体进行承诺，不进行现场网上信用查询的失信行为：</w:t>
      </w:r>
    </w:p>
    <w:p>
      <w:pPr>
        <w:adjustRightInd w:val="0"/>
        <w:snapToGrid w:val="0"/>
        <w:spacing w:line="560" w:lineRule="exact"/>
        <w:ind w:firstLine="560" w:firstLineChars="200"/>
        <w:rPr>
          <w:rFonts w:hint="eastAsia" w:ascii="仿宋_GB2312" w:hAnsi="宋体" w:eastAsia="仿宋_GB2312" w:cs="楷体"/>
          <w:color w:val="000000"/>
          <w:sz w:val="28"/>
          <w:szCs w:val="28"/>
        </w:rPr>
      </w:pPr>
      <w:r>
        <w:rPr>
          <w:rFonts w:hint="eastAsia" w:ascii="仿宋_GB2312" w:hAnsi="宋体" w:eastAsia="仿宋_GB2312"/>
          <w:color w:val="000000"/>
          <w:sz w:val="28"/>
          <w:szCs w:val="28"/>
        </w:rPr>
        <w:t>①</w:t>
      </w:r>
      <w:r>
        <w:rPr>
          <w:rFonts w:hint="eastAsia" w:ascii="仿宋_GB2312" w:hAnsi="宋体" w:eastAsia="仿宋_GB2312" w:cs="楷体"/>
          <w:color w:val="000000"/>
          <w:sz w:val="28"/>
          <w:szCs w:val="28"/>
        </w:rPr>
        <w:t>前三年有行贿犯罪行为的单位和个人；</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②被滁州市县两级各行业主管部门取消在一定期限内的投标资格且在取消期限内的；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③因拖欠农民工工资被县级及以上有关行政主管部门限制投标资格且在限制期限内的；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④被列入省级、市级农民工工资支付异常名录的施工企业，在限制其参加全市范围内房建和市政工程建设项目投标的期限内的；列入县级异常名录的施工企业，在限制其参加本行政区域内房建和市政建设项目投标的期限内的。</w:t>
      </w:r>
    </w:p>
    <w:p>
      <w:pPr>
        <w:adjustRightInd w:val="0"/>
        <w:snapToGrid w:val="0"/>
        <w:spacing w:line="560" w:lineRule="exact"/>
        <w:ind w:firstLine="562" w:firstLineChars="200"/>
        <w:rPr>
          <w:rFonts w:hint="eastAsia" w:ascii="仿宋_GB2312" w:hAnsi="宋体" w:eastAsia="仿宋_GB2312"/>
          <w:b/>
          <w:color w:val="000000"/>
          <w:sz w:val="28"/>
          <w:szCs w:val="28"/>
        </w:rPr>
      </w:pPr>
      <w:r>
        <w:rPr>
          <w:rFonts w:hint="eastAsia" w:ascii="仿宋_GB2312" w:hAnsi="宋体" w:eastAsia="仿宋_GB2312"/>
          <w:b/>
          <w:color w:val="000000"/>
          <w:sz w:val="28"/>
          <w:szCs w:val="28"/>
        </w:rPr>
        <w:t>（二）政府采购项目</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1、“信用中国”网站（www.creditchina.gov.cn）查询以下失信行为：</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①投标人被人民法院列入失信被执行人的；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②投标人被税务部门列入重大税收违法案件当事人的；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③在“信用中国”网站上披露的仍在公示期的严重失信行为的。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2、国家企业信用信息公示系统网站（</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HYPERLINK "http://www.gsxt.gov.cn）查询"</w:instrText>
      </w:r>
      <w:r>
        <w:rPr>
          <w:rFonts w:hint="eastAsia" w:ascii="仿宋_GB2312" w:hAnsi="宋体" w:eastAsia="仿宋_GB2312"/>
          <w:color w:val="000000"/>
          <w:sz w:val="28"/>
          <w:szCs w:val="28"/>
        </w:rPr>
        <w:fldChar w:fldCharType="separate"/>
      </w:r>
      <w:r>
        <w:rPr>
          <w:rFonts w:hint="eastAsia" w:ascii="仿宋_GB2312" w:hAnsi="宋体" w:eastAsia="仿宋_GB2312"/>
          <w:color w:val="000000"/>
          <w:sz w:val="28"/>
          <w:szCs w:val="28"/>
        </w:rPr>
        <w:t>www.gsxt.gov.cn）</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查询以下失信行为：</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①被市场监督管理部门列入经营异常名录或者严重违法企业名单的。</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3、中国政府采购网站（</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 HYPERLINK "http://www.ccgp.gov.cn" </w:instrText>
      </w:r>
      <w:r>
        <w:rPr>
          <w:rFonts w:hint="eastAsia" w:ascii="仿宋_GB2312" w:hAnsi="宋体" w:eastAsia="仿宋_GB2312"/>
          <w:color w:val="000000"/>
          <w:sz w:val="28"/>
          <w:szCs w:val="28"/>
        </w:rPr>
        <w:fldChar w:fldCharType="separate"/>
      </w:r>
      <w:r>
        <w:rPr>
          <w:rStyle w:val="57"/>
          <w:rFonts w:hint="eastAsia" w:ascii="仿宋_GB2312" w:hAnsi="宋体" w:eastAsia="仿宋_GB2312"/>
          <w:color w:val="000000"/>
          <w:sz w:val="28"/>
          <w:szCs w:val="28"/>
        </w:rPr>
        <w:t>www.ccgp.gov.cn</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）查询以下失信行为：</w:t>
      </w:r>
    </w:p>
    <w:p>
      <w:pPr>
        <w:adjustRightInd w:val="0"/>
        <w:snapToGrid w:val="0"/>
        <w:spacing w:line="560" w:lineRule="exact"/>
        <w:ind w:firstLine="560" w:firstLineChars="200"/>
        <w:rPr>
          <w:rFonts w:hint="eastAsia" w:ascii="仿宋_GB2312" w:hAnsi="宋体" w:eastAsia="仿宋_GB2312" w:cs="楷体"/>
          <w:color w:val="000000"/>
          <w:sz w:val="28"/>
          <w:szCs w:val="28"/>
        </w:rPr>
      </w:pPr>
      <w:r>
        <w:rPr>
          <w:rFonts w:hint="eastAsia" w:ascii="仿宋_GB2312" w:hAnsi="宋体" w:eastAsia="仿宋_GB2312"/>
          <w:color w:val="000000"/>
          <w:sz w:val="28"/>
          <w:szCs w:val="28"/>
        </w:rPr>
        <w:t>①</w:t>
      </w:r>
      <w:r>
        <w:rPr>
          <w:rFonts w:hint="eastAsia" w:ascii="仿宋_GB2312" w:hAnsi="宋体" w:eastAsia="仿宋_GB2312" w:cs="楷体"/>
          <w:color w:val="000000"/>
          <w:sz w:val="28"/>
          <w:szCs w:val="28"/>
        </w:rPr>
        <w:t>政府采购严重违法失信行为</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4、由竞争主体进行承诺，不进行现场网上信用查询的失信行为：</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①</w:t>
      </w:r>
      <w:r>
        <w:rPr>
          <w:rFonts w:hint="eastAsia" w:ascii="仿宋_GB2312" w:hAnsi="宋体" w:eastAsia="仿宋_GB2312" w:cs="楷体"/>
          <w:color w:val="000000"/>
          <w:sz w:val="28"/>
          <w:szCs w:val="28"/>
        </w:rPr>
        <w:t>前三年有行贿犯罪行为的单位和个人</w:t>
      </w:r>
      <w:r>
        <w:rPr>
          <w:rFonts w:hint="eastAsia" w:ascii="仿宋_GB2312" w:hAnsi="宋体" w:eastAsia="仿宋_GB2312"/>
          <w:color w:val="000000"/>
          <w:sz w:val="28"/>
          <w:szCs w:val="28"/>
        </w:rPr>
        <w:t>。</w:t>
      </w:r>
    </w:p>
    <w:p>
      <w:pPr>
        <w:adjustRightInd w:val="0"/>
        <w:snapToGrid w:val="0"/>
        <w:spacing w:line="560" w:lineRule="exact"/>
        <w:ind w:firstLine="562" w:firstLineChars="200"/>
        <w:rPr>
          <w:rFonts w:hint="eastAsia" w:ascii="仿宋_GB2312" w:hAnsi="宋体" w:eastAsia="仿宋_GB2312"/>
          <w:b/>
          <w:color w:val="000000"/>
          <w:sz w:val="28"/>
          <w:szCs w:val="28"/>
        </w:rPr>
      </w:pPr>
      <w:r>
        <w:rPr>
          <w:rFonts w:hint="eastAsia" w:ascii="仿宋_GB2312" w:hAnsi="宋体" w:eastAsia="仿宋_GB2312"/>
          <w:b/>
          <w:color w:val="000000"/>
          <w:sz w:val="28"/>
          <w:szCs w:val="28"/>
        </w:rPr>
        <w:t>二、在开评标活动中的查询程序</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实行有限数量制资格审查的项目，由项目单位（代理机构）对入围的投标人、法定代表人及其项目经理（建造师）是否存在上述要求查询的失信行为进行网上核查；若核查结果与投标人承诺不一致，则提交评标委员会取消其入围资格，依次进行替补，并对替补单位进行核查。评审结论以核查后入围的结果重新计算最终评标基准价。</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2、不实行有限数量制资格审查的项目，由项目单位（代理机构）对预中标候选人、法定代表人及其项目经理（建造师）是否存在上述要求查询的失信行为进行网上核查后，提交网站截图等查询记录给评标委员会复核。若核查结果不符合招标文件规定的投标人资格条件信誉要求，由评标委员会取消其预中标候选人资格，并依次替补，再次对替补单位进行核查。如评标现场未发现问题但标后质疑（异议）、投诉发现中标候选人存在信誉问题，则组织评标委员会重新启动复核程序。核查结果不改变原评标基准价。</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3、项目单位及其委托的代理机构应当做好信用查询结果截图和记录留存。</w:t>
      </w:r>
    </w:p>
    <w:p>
      <w:pPr>
        <w:adjustRightInd w:val="0"/>
        <w:snapToGrid w:val="0"/>
        <w:spacing w:line="560" w:lineRule="exact"/>
        <w:ind w:firstLine="562" w:firstLineChars="200"/>
        <w:rPr>
          <w:rFonts w:hint="eastAsia" w:ascii="仿宋_GB2312" w:hAnsi="宋体" w:eastAsia="仿宋_GB2312"/>
          <w:b/>
          <w:color w:val="000000"/>
          <w:sz w:val="28"/>
          <w:szCs w:val="28"/>
        </w:rPr>
      </w:pPr>
      <w:r>
        <w:rPr>
          <w:rFonts w:hint="eastAsia" w:ascii="仿宋_GB2312" w:hAnsi="宋体" w:eastAsia="仿宋_GB2312"/>
          <w:b/>
          <w:color w:val="000000"/>
          <w:sz w:val="28"/>
          <w:szCs w:val="28"/>
        </w:rPr>
        <w:t>三、相关要求</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1、参与公共资源交易活动的竞争主体根据上述范围查询的内容进行自查并承诺，出具《诚信投标承诺书》（诚信投标承诺书包括但不限于上述自查并承诺内容）并注明承诺日期（投标截止时间前5日内）。</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经核查，竞争主体在承诺日期之前（没有承诺日期的以资格审查日或开标日之前）有上述失信行为进行虚假承诺的，将视作不诚信行为，资格审查委员会或评标委员会及代理机构应当及时报告公共资源监管部门，依法依规予以处理。</w:t>
      </w:r>
    </w:p>
    <w:p>
      <w:pPr>
        <w:wordWrap w:val="0"/>
        <w:adjustRightInd w:val="0"/>
        <w:snapToGrid w:val="0"/>
        <w:spacing w:line="560" w:lineRule="exact"/>
        <w:ind w:firstLine="560" w:firstLineChars="200"/>
        <w:rPr>
          <w:rFonts w:hint="eastAsia"/>
          <w:color w:val="000000"/>
        </w:rPr>
      </w:pPr>
      <w:r>
        <w:rPr>
          <w:rFonts w:hint="eastAsia" w:ascii="仿宋_GB2312" w:hAnsi="宋体" w:eastAsia="仿宋_GB2312"/>
          <w:color w:val="000000"/>
          <w:sz w:val="28"/>
          <w:szCs w:val="28"/>
        </w:rPr>
        <w:t xml:space="preserve">注册地在安徽省内且未在安徽省外开展业务、省外无违法违规行为的企业可通过安徽政务服务网开具由安徽省公共信用信息服务中心出具的《公共信用信息报告（无违法违规证明版或核查版）》代替《诚信投标承诺书》。《公共信用信息报告（无违法违规证明版或核查版）》可通过 “信用中国(安徽)”网站信用报告核验系统 ( </w:t>
      </w:r>
      <w:r>
        <w:rPr>
          <w:rFonts w:ascii="仿宋_GB2312" w:hAnsi="宋体" w:eastAsia="仿宋_GB2312"/>
          <w:color w:val="000000"/>
          <w:sz w:val="28"/>
          <w:szCs w:val="28"/>
        </w:rPr>
        <w:fldChar w:fldCharType="begin"/>
      </w:r>
      <w:r>
        <w:rPr>
          <w:rFonts w:ascii="仿宋_GB2312" w:hAnsi="宋体" w:eastAsia="仿宋_GB2312"/>
          <w:color w:val="000000"/>
          <w:sz w:val="28"/>
          <w:szCs w:val="28"/>
        </w:rPr>
        <w:instrText xml:space="preserve"> HYPERLINK "</w:instrText>
      </w:r>
      <w:r>
        <w:rPr>
          <w:rFonts w:hint="eastAsia" w:ascii="仿宋_GB2312" w:hAnsi="宋体" w:eastAsia="仿宋_GB2312"/>
          <w:color w:val="000000"/>
          <w:sz w:val="28"/>
          <w:szCs w:val="28"/>
        </w:rPr>
        <w:instrText xml:space="preserve">https://credit.ah.gov.cn/xinyong-fuwu/xvbahv/index.html</w:instrText>
      </w:r>
      <w:r>
        <w:rPr>
          <w:rFonts w:ascii="仿宋_GB2312" w:hAnsi="宋体" w:eastAsia="仿宋_GB2312"/>
          <w:color w:val="000000"/>
          <w:sz w:val="28"/>
          <w:szCs w:val="28"/>
        </w:rPr>
        <w:instrText xml:space="preserve">" </w:instrText>
      </w:r>
      <w:r>
        <w:rPr>
          <w:rFonts w:ascii="仿宋_GB2312" w:hAnsi="宋体" w:eastAsia="仿宋_GB2312"/>
          <w:color w:val="000000"/>
          <w:sz w:val="28"/>
          <w:szCs w:val="28"/>
        </w:rPr>
        <w:fldChar w:fldCharType="separate"/>
      </w:r>
      <w:r>
        <w:rPr>
          <w:rStyle w:val="57"/>
          <w:rFonts w:hint="eastAsia" w:ascii="仿宋_GB2312" w:hAnsi="宋体" w:eastAsia="仿宋_GB2312"/>
          <w:color w:val="000000"/>
          <w:sz w:val="28"/>
          <w:szCs w:val="28"/>
        </w:rPr>
        <w:t>https://credit.ah.gov.cn/xinyong-fuwu/xvbahv/index.html</w:t>
      </w:r>
      <w:r>
        <w:rPr>
          <w:rFonts w:ascii="仿宋_GB2312" w:hAnsi="宋体" w:eastAsia="仿宋_GB2312"/>
          <w:color w:val="000000"/>
          <w:sz w:val="28"/>
          <w:szCs w:val="28"/>
        </w:rPr>
        <w:fldChar w:fldCharType="end"/>
      </w:r>
      <w:r>
        <w:rPr>
          <w:rFonts w:hint="eastAsia" w:ascii="仿宋_GB2312" w:hAnsi="宋体" w:eastAsia="仿宋_GB2312"/>
          <w:color w:val="000000"/>
          <w:sz w:val="28"/>
          <w:szCs w:val="28"/>
        </w:rPr>
        <w:t>)进行核验。核验不一致或提交《公共信用信息报告（无违法违规证明版或核查版）》的企业在省外有失信行为的将视作不诚信行为，资格审查委员会或评标委员会及代理机构应当及时报告公共资源监管部门，依法依规予以处理。</w:t>
      </w:r>
    </w:p>
    <w:p>
      <w:pPr>
        <w:adjustRightInd w:val="0"/>
        <w:snapToGrid w:val="0"/>
        <w:spacing w:line="560" w:lineRule="exact"/>
        <w:ind w:firstLine="562" w:firstLineChars="200"/>
        <w:rPr>
          <w:rFonts w:hint="eastAsia" w:ascii="仿宋_GB2312" w:hAnsi="宋体" w:eastAsia="仿宋_GB2312"/>
          <w:b/>
          <w:color w:val="000000"/>
          <w:sz w:val="28"/>
          <w:szCs w:val="28"/>
        </w:rPr>
      </w:pPr>
      <w:r>
        <w:rPr>
          <w:rFonts w:hint="eastAsia" w:ascii="仿宋_GB2312" w:hAnsi="宋体" w:eastAsia="仿宋_GB2312"/>
          <w:b/>
          <w:color w:val="000000"/>
          <w:sz w:val="28"/>
          <w:szCs w:val="28"/>
        </w:rPr>
        <w:t>2、“信用中国”查询的严重失信行为判定依据为各行业主管部门下发的联合惩戒文件中规定的行为（按附件2执行）。</w:t>
      </w:r>
    </w:p>
    <w:p>
      <w:pPr>
        <w:adjustRightInd w:val="0"/>
        <w:snapToGrid w:val="0"/>
        <w:spacing w:line="56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3、资格预审的项目以递交资格预审申请文件截止时间查询为准；资格后审的项目以递交投标文件截止时间查询为准。</w:t>
      </w:r>
    </w:p>
    <w:p>
      <w:pPr>
        <w:pStyle w:val="6"/>
        <w:spacing w:before="200" w:after="200" w:line="600" w:lineRule="exact"/>
        <w:rPr>
          <w:rFonts w:hint="eastAsia" w:ascii="黑体" w:hAnsi="黑体" w:eastAsia="黑体"/>
          <w:color w:val="000000"/>
          <w:sz w:val="36"/>
          <w:szCs w:val="28"/>
        </w:rPr>
      </w:pPr>
      <w:bookmarkStart w:id="1059" w:name="_Toc95223549"/>
      <w:r>
        <w:rPr>
          <w:rFonts w:hint="eastAsia" w:ascii="黑体" w:hAnsi="黑体" w:eastAsia="黑体"/>
          <w:color w:val="000000"/>
          <w:sz w:val="36"/>
          <w:szCs w:val="28"/>
        </w:rPr>
        <w:t>附件2 “信用中国”查询的严重失信行为类别及判定依据</w:t>
      </w:r>
      <w:bookmarkEnd w:id="1059"/>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32"/>
          <w:szCs w:val="32"/>
        </w:rPr>
        <w:t>“</w:t>
      </w:r>
      <w:r>
        <w:rPr>
          <w:rFonts w:hint="eastAsia" w:ascii="仿宋_GB2312" w:hAnsi="宋体" w:eastAsia="仿宋_GB2312"/>
          <w:color w:val="000000"/>
          <w:sz w:val="28"/>
          <w:szCs w:val="28"/>
        </w:rPr>
        <w:t>信用中国”查询的严重失信行为判定依据为各行业主管部门下发的联合惩戒文件中规定的行为。下面将部分类别的严重失信行为列举如下：</w:t>
      </w:r>
    </w:p>
    <w:p>
      <w:pPr>
        <w:adjustRightInd w:val="0"/>
        <w:snapToGrid w:val="0"/>
        <w:spacing w:line="560" w:lineRule="exact"/>
        <w:ind w:firstLine="645"/>
        <w:jc w:val="left"/>
        <w:rPr>
          <w:rFonts w:hint="eastAsia" w:ascii="仿宋_GB2312" w:hAnsi="宋体" w:eastAsia="仿宋_GB2312"/>
          <w:b/>
          <w:color w:val="000000"/>
          <w:sz w:val="28"/>
          <w:szCs w:val="28"/>
        </w:rPr>
      </w:pPr>
      <w:r>
        <w:rPr>
          <w:rFonts w:hint="eastAsia" w:ascii="仿宋_GB2312" w:hAnsi="宋体" w:eastAsia="仿宋_GB2312"/>
          <w:b/>
          <w:color w:val="000000"/>
          <w:sz w:val="28"/>
          <w:szCs w:val="28"/>
        </w:rPr>
        <w:t>一、安全生产领域严重失信行为：</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（一）发生较大及以上生产安全责任事故，或1年内累计发生3起及以上造成人员死亡的一般生产安全责任事故的；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（二）未按规定取得安全生产许可，擅自开展生产经营建设活动的；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（三）发现重大生产安全事故隐患，或职业病危害严重超标，不及时整改，仍组织从业人员冒险作业的；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（四）采取隐蔽、欺骗或阻碍等方式逃避、对抗安全监管监察的;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（五）被责令停产停业整顿，仍然从事生产经营建设活动的；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（六）瞒报、谎报、迟报生产安全事故的；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（七）矿山、危险化学品、金属冶炼等高危行业建设项目安全设施未经验收合格即投入生产和使用的；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（八）矿山生产经营单位存在超层越界开采、以探代采行为的；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（九）发生事故后，故意破坏事故现场，伪造有关证据资料，妨碍、对抗事故调查，或主要负责人逃逸的；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（十）安全生产和职业健康技术服务机构出具虚假报告或证明，违规转让或出借资质的。</w:t>
      </w:r>
    </w:p>
    <w:p>
      <w:pPr>
        <w:adjustRightInd w:val="0"/>
        <w:snapToGrid w:val="0"/>
        <w:spacing w:line="560" w:lineRule="exact"/>
        <w:ind w:firstLine="645"/>
        <w:jc w:val="left"/>
        <w:rPr>
          <w:rFonts w:hint="eastAsia" w:ascii="仿宋_GB2312" w:eastAsia="仿宋_GB2312"/>
          <w:b/>
          <w:color w:val="000000"/>
          <w:sz w:val="28"/>
          <w:szCs w:val="28"/>
        </w:rPr>
      </w:pPr>
      <w:r>
        <w:rPr>
          <w:rFonts w:hint="eastAsia" w:ascii="仿宋_GB2312" w:hAnsi="宋体" w:eastAsia="仿宋_GB2312"/>
          <w:b/>
          <w:color w:val="000000"/>
          <w:sz w:val="28"/>
          <w:szCs w:val="28"/>
        </w:rPr>
        <w:t>依据：《对安全生产领域失信行为开展联合惩戒的实施办法》</w:t>
      </w:r>
      <w:r>
        <w:rPr>
          <w:rFonts w:hint="eastAsia" w:ascii="仿宋_GB2312" w:eastAsia="仿宋_GB2312"/>
          <w:b/>
          <w:color w:val="000000"/>
          <w:sz w:val="28"/>
          <w:szCs w:val="28"/>
        </w:rPr>
        <w:t>（安监总办〔2017〕49号）第二条</w:t>
      </w:r>
    </w:p>
    <w:p>
      <w:pPr>
        <w:adjustRightInd w:val="0"/>
        <w:snapToGrid w:val="0"/>
        <w:spacing w:line="560" w:lineRule="exact"/>
        <w:ind w:firstLine="645"/>
        <w:jc w:val="left"/>
        <w:rPr>
          <w:rFonts w:hint="eastAsia" w:ascii="仿宋_GB2312" w:hAnsi="宋体" w:eastAsia="仿宋_GB2312"/>
          <w:b/>
          <w:color w:val="000000"/>
          <w:sz w:val="28"/>
          <w:szCs w:val="28"/>
        </w:rPr>
      </w:pPr>
    </w:p>
    <w:p>
      <w:pPr>
        <w:adjustRightInd w:val="0"/>
        <w:snapToGrid w:val="0"/>
        <w:spacing w:line="560" w:lineRule="exact"/>
        <w:ind w:firstLine="645"/>
        <w:jc w:val="left"/>
        <w:rPr>
          <w:rFonts w:hint="eastAsia" w:ascii="仿宋_GB2312" w:hAnsi="宋体" w:eastAsia="仿宋_GB2312"/>
          <w:b/>
          <w:color w:val="000000"/>
          <w:sz w:val="28"/>
          <w:szCs w:val="28"/>
        </w:rPr>
      </w:pPr>
      <w:r>
        <w:rPr>
          <w:rFonts w:hint="eastAsia" w:ascii="仿宋_GB2312" w:hAnsi="宋体" w:eastAsia="仿宋_GB2312"/>
          <w:b/>
          <w:color w:val="000000"/>
          <w:sz w:val="28"/>
          <w:szCs w:val="28"/>
        </w:rPr>
        <w:t>二、环境保护领域严重失信行为：</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（一）因为环境违法构成</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 HYPERLINK "https://baike.sogou.com/m/fullLemma?lid=10403954&amp;g_ut=3" \t "https://baike.sogou.com/m/_blank" </w:instrText>
      </w:r>
      <w:r>
        <w:rPr>
          <w:rFonts w:hint="eastAsia" w:ascii="仿宋_GB2312" w:hAnsi="宋体" w:eastAsia="仿宋_GB2312"/>
          <w:color w:val="000000"/>
          <w:sz w:val="28"/>
          <w:szCs w:val="28"/>
        </w:rPr>
        <w:fldChar w:fldCharType="separate"/>
      </w:r>
      <w:r>
        <w:rPr>
          <w:rFonts w:hint="eastAsia" w:ascii="仿宋_GB2312" w:hAnsi="宋体" w:eastAsia="仿宋_GB2312"/>
          <w:color w:val="000000"/>
          <w:sz w:val="28"/>
          <w:szCs w:val="28"/>
        </w:rPr>
        <w:t>环境犯罪</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（二）</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 HYPERLINK "https://baike.sogou.com/m/fullLemma?lid=76033123&amp;g_ut=3" \t "https://baike.sogou.com/m/_blank" </w:instrText>
      </w:r>
      <w:r>
        <w:rPr>
          <w:rFonts w:hint="eastAsia" w:ascii="仿宋_GB2312" w:hAnsi="宋体" w:eastAsia="仿宋_GB2312"/>
          <w:color w:val="000000"/>
          <w:sz w:val="28"/>
          <w:szCs w:val="28"/>
        </w:rPr>
        <w:fldChar w:fldCharType="separate"/>
      </w:r>
      <w:r>
        <w:rPr>
          <w:rFonts w:hint="eastAsia" w:ascii="仿宋_GB2312" w:hAnsi="宋体" w:eastAsia="仿宋_GB2312"/>
          <w:color w:val="000000"/>
          <w:sz w:val="28"/>
          <w:szCs w:val="28"/>
        </w:rPr>
        <w:t>建设项目环境影响评价</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文件未按规定通过审批，擅自开工建设的；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（三）建设项目环保设施未建成、环保措施未落实、未通过</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 HYPERLINK "https://baike.sogou.com/m/fullLemma?lid=6470550&amp;g_ut=3" \t "https://baike.sogou.com/m/_blank" </w:instrText>
      </w:r>
      <w:r>
        <w:rPr>
          <w:rFonts w:hint="eastAsia" w:ascii="仿宋_GB2312" w:hAnsi="宋体" w:eastAsia="仿宋_GB2312"/>
          <w:color w:val="000000"/>
          <w:sz w:val="28"/>
          <w:szCs w:val="28"/>
        </w:rPr>
        <w:fldChar w:fldCharType="separate"/>
      </w:r>
      <w:r>
        <w:rPr>
          <w:rFonts w:hint="eastAsia" w:ascii="仿宋_GB2312" w:hAnsi="宋体" w:eastAsia="仿宋_GB2312"/>
          <w:color w:val="000000"/>
          <w:sz w:val="28"/>
          <w:szCs w:val="28"/>
        </w:rPr>
        <w:t>竣工环保验收</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或者验收不合格，主体工程正式投入生产或者使用的；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（四）建设项目性质、规模、地点、采用的生产工艺或者防治污染、防止生态破坏的措施发生重大变动，未重新报批环境影响评价文件，擅自投入生产或者使用的；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（五）主要污染物排放总量超过控制指标的；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（六）私设暗管或者利用</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 HYPERLINK "https://baike.sogou.com/m/fullLemma?lid=41657319&amp;g_ut=3" \t "https://baike.sogou.com/m/_blank" </w:instrText>
      </w:r>
      <w:r>
        <w:rPr>
          <w:rFonts w:hint="eastAsia" w:ascii="仿宋_GB2312" w:hAnsi="宋体" w:eastAsia="仿宋_GB2312"/>
          <w:color w:val="000000"/>
          <w:sz w:val="28"/>
          <w:szCs w:val="28"/>
        </w:rPr>
        <w:fldChar w:fldCharType="separate"/>
      </w:r>
      <w:r>
        <w:rPr>
          <w:rFonts w:hint="eastAsia" w:ascii="仿宋_GB2312" w:hAnsi="宋体" w:eastAsia="仿宋_GB2312"/>
          <w:color w:val="000000"/>
          <w:sz w:val="28"/>
          <w:szCs w:val="28"/>
        </w:rPr>
        <w:t>渗井</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、渗坑、裂隙、溶洞等排放、倾倒、处置水污染物，或者通过私设旁路排放</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 HYPERLINK "https://baike.sogou.com/m/fullLemma?lid=7758328&amp;g_ut=3" \t "https://baike.sogou.com/m/_blank" </w:instrText>
      </w:r>
      <w:r>
        <w:rPr>
          <w:rFonts w:hint="eastAsia" w:ascii="仿宋_GB2312" w:hAnsi="宋体" w:eastAsia="仿宋_GB2312"/>
          <w:color w:val="000000"/>
          <w:sz w:val="28"/>
          <w:szCs w:val="28"/>
        </w:rPr>
        <w:fldChar w:fldCharType="separate"/>
      </w:r>
      <w:r>
        <w:rPr>
          <w:rFonts w:hint="eastAsia" w:ascii="仿宋_GB2312" w:hAnsi="宋体" w:eastAsia="仿宋_GB2312"/>
          <w:color w:val="000000"/>
          <w:sz w:val="28"/>
          <w:szCs w:val="28"/>
        </w:rPr>
        <w:t>大气污染物</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（七）非法排放、倾倒、处置危险废物，或者向无</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 HYPERLINK "https://baike.sogou.com/m/fullLemma?lid=5923292&amp;g_ut=3" \t "https://baike.sogou.com/m/_blank" </w:instrText>
      </w:r>
      <w:r>
        <w:rPr>
          <w:rFonts w:hint="eastAsia" w:ascii="仿宋_GB2312" w:hAnsi="宋体" w:eastAsia="仿宋_GB2312"/>
          <w:color w:val="000000"/>
          <w:sz w:val="28"/>
          <w:szCs w:val="28"/>
        </w:rPr>
        <w:fldChar w:fldCharType="separate"/>
      </w:r>
      <w:r>
        <w:rPr>
          <w:rFonts w:hint="eastAsia" w:ascii="仿宋_GB2312" w:hAnsi="宋体" w:eastAsia="仿宋_GB2312"/>
          <w:color w:val="000000"/>
          <w:sz w:val="28"/>
          <w:szCs w:val="28"/>
        </w:rPr>
        <w:t>经营许可证</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或者超出经营许可范围的单位或个人提供或者委托其收集、贮存、利用、处置危险废物的；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（八）</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 HYPERLINK "https://baike.sogou.com/m/fullLemma?lid=167759803&amp;g_ut=3" \t "https://baike.sogou.com/m/_blank" </w:instrText>
      </w:r>
      <w:r>
        <w:rPr>
          <w:rFonts w:hint="eastAsia" w:ascii="仿宋_GB2312" w:hAnsi="宋体" w:eastAsia="仿宋_GB2312"/>
          <w:color w:val="000000"/>
          <w:sz w:val="28"/>
          <w:szCs w:val="28"/>
        </w:rPr>
        <w:fldChar w:fldCharType="separate"/>
      </w:r>
      <w:r>
        <w:rPr>
          <w:rFonts w:hint="eastAsia" w:ascii="仿宋_GB2312" w:hAnsi="宋体" w:eastAsia="仿宋_GB2312"/>
          <w:color w:val="000000"/>
          <w:sz w:val="28"/>
          <w:szCs w:val="28"/>
        </w:rPr>
        <w:t>环境违法行为</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造成集中式生活饮用水水源取水中断的；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（九）环境违法行为对生活饮用水水源保护区、自然保护区、</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 HYPERLINK "https://baike.sogou.com/m/fullLemma?lid=155199213&amp;g_ut=3" \t "https://baike.sogou.com/m/_blank" </w:instrText>
      </w:r>
      <w:r>
        <w:rPr>
          <w:rFonts w:hint="eastAsia" w:ascii="仿宋_GB2312" w:hAnsi="宋体" w:eastAsia="仿宋_GB2312"/>
          <w:color w:val="000000"/>
          <w:sz w:val="28"/>
          <w:szCs w:val="28"/>
        </w:rPr>
        <w:fldChar w:fldCharType="separate"/>
      </w:r>
      <w:r>
        <w:rPr>
          <w:rFonts w:hint="eastAsia" w:ascii="仿宋_GB2312" w:hAnsi="宋体" w:eastAsia="仿宋_GB2312"/>
          <w:color w:val="000000"/>
          <w:sz w:val="28"/>
          <w:szCs w:val="28"/>
        </w:rPr>
        <w:t>国家重点生态功能区</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、风景名胜区、居住功能区、</w:t>
      </w:r>
      <w:r>
        <w:rPr>
          <w:rFonts w:hint="eastAsia" w:ascii="仿宋_GB2312" w:hAnsi="宋体" w:eastAsia="仿宋_GB2312"/>
          <w:color w:val="000000"/>
          <w:sz w:val="28"/>
          <w:szCs w:val="28"/>
        </w:rPr>
        <w:fldChar w:fldCharType="begin"/>
      </w:r>
      <w:r>
        <w:rPr>
          <w:rFonts w:hint="eastAsia" w:ascii="仿宋_GB2312" w:hAnsi="宋体" w:eastAsia="仿宋_GB2312"/>
          <w:color w:val="000000"/>
          <w:sz w:val="28"/>
          <w:szCs w:val="28"/>
        </w:rPr>
        <w:instrText xml:space="preserve"> HYPERLINK "https://baike.sogou.com/m/fullLemma?lid=7757164&amp;g_ut=3" \t "https://baike.sogou.com/m/_blank" </w:instrText>
      </w:r>
      <w:r>
        <w:rPr>
          <w:rFonts w:hint="eastAsia" w:ascii="仿宋_GB2312" w:hAnsi="宋体" w:eastAsia="仿宋_GB2312"/>
          <w:color w:val="000000"/>
          <w:sz w:val="28"/>
          <w:szCs w:val="28"/>
        </w:rPr>
        <w:fldChar w:fldCharType="separate"/>
      </w:r>
      <w:r>
        <w:rPr>
          <w:rFonts w:hint="eastAsia" w:ascii="仿宋_GB2312" w:hAnsi="宋体" w:eastAsia="仿宋_GB2312"/>
          <w:color w:val="000000"/>
          <w:sz w:val="28"/>
          <w:szCs w:val="28"/>
        </w:rPr>
        <w:t>基本农田保护区</w:t>
      </w:r>
      <w:r>
        <w:rPr>
          <w:rFonts w:hint="eastAsia" w:ascii="仿宋_GB2312" w:hAnsi="宋体" w:eastAsia="仿宋_GB2312"/>
          <w:color w:val="000000"/>
          <w:sz w:val="28"/>
          <w:szCs w:val="28"/>
        </w:rPr>
        <w:fldChar w:fldCharType="end"/>
      </w:r>
      <w:r>
        <w:rPr>
          <w:rFonts w:hint="eastAsia" w:ascii="仿宋_GB2312" w:hAnsi="宋体" w:eastAsia="仿宋_GB2312"/>
          <w:color w:val="000000"/>
          <w:sz w:val="28"/>
          <w:szCs w:val="28"/>
        </w:rPr>
        <w:t>等环境敏感区造成重大不利影响的；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（十）违法从事自然资源开发、交通基础设施建设，以及其他开发建设活动，造成严重生态破坏的；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（十一）发生较大及以上突发环境事件的；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（十二）被环保部门挂牌督办，整改逾期未完成的；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（十三）以暴力、威胁等方式拒绝、阻挠环保部门工作人员现场检查的；</w:t>
      </w:r>
    </w:p>
    <w:p>
      <w:pPr>
        <w:adjustRightInd w:val="0"/>
        <w:snapToGrid w:val="0"/>
        <w:spacing w:line="560" w:lineRule="exact"/>
        <w:ind w:firstLine="645"/>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（十四）违反重污染天气应急预案有关规定，对重污染天气响应不力的。</w:t>
      </w:r>
    </w:p>
    <w:p>
      <w:pPr>
        <w:adjustRightInd w:val="0"/>
        <w:snapToGrid w:val="0"/>
        <w:spacing w:line="560" w:lineRule="exact"/>
        <w:ind w:firstLine="645"/>
        <w:jc w:val="left"/>
        <w:rPr>
          <w:rFonts w:hint="eastAsia" w:ascii="仿宋_GB2312" w:hAnsi="宋体" w:eastAsia="仿宋_GB2312"/>
          <w:b/>
          <w:color w:val="000000"/>
          <w:sz w:val="28"/>
          <w:szCs w:val="28"/>
        </w:rPr>
      </w:pPr>
      <w:r>
        <w:rPr>
          <w:rFonts w:hint="eastAsia" w:ascii="仿宋_GB2312" w:hAnsi="宋体" w:eastAsia="仿宋_GB2312"/>
          <w:b/>
          <w:color w:val="000000"/>
          <w:sz w:val="28"/>
          <w:szCs w:val="28"/>
        </w:rPr>
        <w:t>依据：《关于对环境保护领域失信生产经营单位及其有关人员开展联合惩戒的合作备忘录》、《企业环境信用评价办法（试行）》（环发〔2013〕150号）</w:t>
      </w:r>
    </w:p>
    <w:p>
      <w:pPr>
        <w:adjustRightInd w:val="0"/>
        <w:snapToGrid w:val="0"/>
        <w:spacing w:line="560" w:lineRule="exact"/>
        <w:ind w:firstLine="645"/>
        <w:jc w:val="left"/>
        <w:rPr>
          <w:rFonts w:hint="eastAsia" w:ascii="仿宋_GB2312" w:hAnsi="宋体" w:eastAsia="仿宋_GB2312"/>
          <w:b/>
          <w:color w:val="000000"/>
          <w:sz w:val="28"/>
          <w:szCs w:val="28"/>
        </w:rPr>
      </w:pPr>
    </w:p>
    <w:p>
      <w:pPr>
        <w:adjustRightInd w:val="0"/>
        <w:snapToGrid w:val="0"/>
        <w:spacing w:line="560" w:lineRule="exact"/>
        <w:ind w:firstLine="645"/>
        <w:jc w:val="left"/>
        <w:rPr>
          <w:rFonts w:hint="eastAsia" w:ascii="仿宋_GB2312" w:hAnsi="宋体" w:eastAsia="仿宋_GB2312"/>
          <w:b/>
          <w:color w:val="000000"/>
          <w:sz w:val="28"/>
          <w:szCs w:val="28"/>
        </w:rPr>
      </w:pPr>
      <w:r>
        <w:rPr>
          <w:rFonts w:hint="eastAsia" w:ascii="仿宋_GB2312" w:hAnsi="宋体" w:eastAsia="仿宋_GB2312"/>
          <w:b/>
          <w:color w:val="000000"/>
          <w:sz w:val="28"/>
          <w:szCs w:val="28"/>
        </w:rPr>
        <w:t>三、</w:t>
      </w:r>
      <w:r>
        <w:rPr>
          <w:rFonts w:hint="eastAsia" w:ascii="仿宋_GB2312" w:hAnsi="宋体" w:eastAsia="仿宋_GB2312"/>
          <w:b/>
          <w:bCs/>
          <w:color w:val="000000"/>
          <w:sz w:val="28"/>
          <w:szCs w:val="28"/>
        </w:rPr>
        <w:t>公共资源交易领域严重失信行为</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 xml:space="preserve">（一）违反法律规定，必须进行招标的项目而不招标的，将必须进行招标的项目化整为零或者以其他任何方式规避招标的； </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（二）招标代理机构违反法律规定，泄露应当保密的与招标投标活动有关的情况和资料的，或者与招标人、投标人串通损害 国家利益、社会公共利益或者他人合法权益的；</w:t>
      </w:r>
    </w:p>
    <w:p>
      <w:pPr>
        <w:adjustRightInd w:val="0"/>
        <w:snapToGrid w:val="0"/>
        <w:spacing w:line="560" w:lineRule="exact"/>
        <w:ind w:firstLine="560" w:firstLineChars="200"/>
        <w:jc w:val="left"/>
        <w:rPr>
          <w:rFonts w:hint="eastAsia" w:ascii="仿宋_GB2312" w:eastAsia="仿宋_GB2312"/>
          <w:color w:val="000000"/>
          <w:sz w:val="28"/>
          <w:szCs w:val="28"/>
        </w:rPr>
      </w:pPr>
      <w:r>
        <w:rPr>
          <w:rFonts w:hint="eastAsia" w:ascii="仿宋_GB2312" w:eastAsia="仿宋_GB2312"/>
          <w:color w:val="000000"/>
          <w:sz w:val="28"/>
          <w:szCs w:val="28"/>
        </w:rPr>
        <w:t>（三）招标人以不合理的条件限制或者排斥潜在投标人的，对潜在投标人实行歧视待遇的，强制要求投标人组成联合体共同 投标的，或者限制投标人之间竞争的；</w:t>
      </w:r>
    </w:p>
    <w:p>
      <w:pPr>
        <w:adjustRightInd w:val="0"/>
        <w:snapToGrid w:val="0"/>
        <w:spacing w:line="560" w:lineRule="exact"/>
        <w:ind w:firstLine="560" w:firstLineChars="200"/>
        <w:jc w:val="left"/>
        <w:rPr>
          <w:rFonts w:hint="eastAsia" w:ascii="仿宋_GB2312" w:eastAsia="仿宋_GB2312"/>
          <w:color w:val="000000"/>
          <w:sz w:val="28"/>
          <w:szCs w:val="28"/>
        </w:rPr>
      </w:pPr>
      <w:r>
        <w:rPr>
          <w:rFonts w:hint="eastAsia" w:ascii="仿宋_GB2312" w:eastAsia="仿宋_GB2312"/>
          <w:color w:val="000000"/>
          <w:sz w:val="28"/>
          <w:szCs w:val="28"/>
        </w:rPr>
        <w:t>（四）依法必须进行招标的项目的招标人向他人透露已获取招标文件的潜在投标人的名称、数量或者可能影响公平竞争的有 关招标投标的其他情况的，或者泄露标底的；</w:t>
      </w:r>
    </w:p>
    <w:p>
      <w:pPr>
        <w:adjustRightInd w:val="0"/>
        <w:snapToGrid w:val="0"/>
        <w:spacing w:line="560" w:lineRule="exact"/>
        <w:ind w:firstLine="560" w:firstLineChars="200"/>
        <w:jc w:val="left"/>
        <w:rPr>
          <w:rFonts w:hint="eastAsia" w:ascii="仿宋_GB2312" w:eastAsia="仿宋_GB2312"/>
          <w:color w:val="000000"/>
          <w:sz w:val="28"/>
          <w:szCs w:val="28"/>
        </w:rPr>
      </w:pPr>
      <w:r>
        <w:rPr>
          <w:rFonts w:hint="eastAsia" w:ascii="仿宋_GB2312" w:eastAsia="仿宋_GB2312"/>
          <w:color w:val="000000"/>
          <w:sz w:val="28"/>
          <w:szCs w:val="28"/>
        </w:rPr>
        <w:t xml:space="preserve">（五）投标人相互串通投标或者与招标人串通投标的，投标人以向招标人或者评标委员会成员行贿的手段谋取中标的； </w:t>
      </w:r>
    </w:p>
    <w:p>
      <w:pPr>
        <w:adjustRightInd w:val="0"/>
        <w:snapToGrid w:val="0"/>
        <w:spacing w:line="560" w:lineRule="exact"/>
        <w:ind w:firstLine="560" w:firstLineChars="200"/>
        <w:jc w:val="left"/>
        <w:rPr>
          <w:rFonts w:hint="eastAsia" w:ascii="仿宋_GB2312" w:eastAsia="仿宋_GB2312"/>
          <w:color w:val="000000"/>
          <w:sz w:val="28"/>
          <w:szCs w:val="28"/>
        </w:rPr>
      </w:pPr>
      <w:r>
        <w:rPr>
          <w:rFonts w:hint="eastAsia" w:ascii="仿宋_GB2312" w:eastAsia="仿宋_GB2312"/>
          <w:color w:val="000000"/>
          <w:sz w:val="28"/>
          <w:szCs w:val="28"/>
        </w:rPr>
        <w:t>（六）投标人以他人名义投标或者以其他方式弄虚作假，骗取中标的；</w:t>
      </w:r>
    </w:p>
    <w:p>
      <w:pPr>
        <w:adjustRightInd w:val="0"/>
        <w:snapToGrid w:val="0"/>
        <w:spacing w:line="560" w:lineRule="exact"/>
        <w:ind w:firstLine="560" w:firstLineChars="200"/>
        <w:jc w:val="left"/>
        <w:rPr>
          <w:rFonts w:hint="eastAsia" w:ascii="仿宋_GB2312" w:eastAsia="仿宋_GB2312"/>
          <w:color w:val="000000"/>
          <w:sz w:val="28"/>
          <w:szCs w:val="28"/>
        </w:rPr>
      </w:pPr>
      <w:r>
        <w:rPr>
          <w:rFonts w:hint="eastAsia" w:ascii="仿宋_GB2312" w:eastAsia="仿宋_GB2312"/>
          <w:color w:val="000000"/>
          <w:sz w:val="28"/>
          <w:szCs w:val="28"/>
        </w:rPr>
        <w:t>（七）依法必须进行招标的项目，招标人违反法律规定，与投标人就投标价格、投标方案等实质性内容进行谈判的；</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 xml:space="preserve">（八）评标委员会成员收受投标人的财物或者其他好处的，评标委员会成员或者参加评标的有关工作人员向他人透露对投 标文件的评审和比较、中标候选人的推荐以及与评标有关的其他 情况的； </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 xml:space="preserve">（九）招标人在评标委员会依法推荐的中标候选人以外确定中标人的，依法必须进行招标的项目在所有投标被评标委员会否 决后自行确定中标人的； </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 xml:space="preserve">（十）中标人将中标项目转让给他人的，将中标项目肢解后分别转让给他人的，违反法律规定将中标项目的部分主体、关键 性工作分包给他人的，或者分包人再次分包的； </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 xml:space="preserve">（十一）招标人与中标人不按照招标文件和中标人的投标文件订立合同的，或者招标人、中标人订立背离合同实质性内容的 协议的； </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 xml:space="preserve">（十二）中标人不按照与招标人订立的合同履行义务，情节严重的； </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（十三）采购人、采购代理机构存在应当采用公开招标方式而擅自采用其他方式采购，擅自提高采购标准，以不合理的条件 对供应商实行差别待遇或者歧视待遇，在招标采购过程中与投标 人进行协商谈判，中标、成交通知书发出后不与中标、成交供应商签订采购合同，或者拒绝有关部门依法实施监督检查等情形的；</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 xml:space="preserve"> （十四）采购人、采购代理机构及其工作人员存在与供应商 或者采购代理机构恶意串通，在采购过程中接受贿赂或者获取其 他不正当利益，在有关部门依法实施的监督检查中提供虚假情况， 或者开标前泄露标底等情形的；</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 xml:space="preserve"> （十五）采购人对应当实行集中采购的政府采购项目，不委托集中采购机构实行集中采购的； </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 xml:space="preserve">（十六）采购人、采购代理机构违反法律规定隐匿、销毁应当保存的采购文件或者伪造、变造采购文件的； </w:t>
      </w:r>
    </w:p>
    <w:p>
      <w:pPr>
        <w:adjustRightInd w:val="0"/>
        <w:snapToGrid w:val="0"/>
        <w:spacing w:line="560" w:lineRule="exact"/>
        <w:ind w:firstLine="645"/>
        <w:jc w:val="left"/>
        <w:rPr>
          <w:rFonts w:hint="eastAsia" w:ascii="仿宋_GB2312" w:eastAsia="仿宋_GB2312"/>
          <w:color w:val="000000"/>
          <w:sz w:val="28"/>
          <w:szCs w:val="28"/>
        </w:rPr>
      </w:pPr>
      <w:r>
        <w:rPr>
          <w:rFonts w:hint="eastAsia" w:ascii="仿宋_GB2312" w:eastAsia="仿宋_GB2312"/>
          <w:color w:val="000000"/>
          <w:sz w:val="28"/>
          <w:szCs w:val="28"/>
        </w:rPr>
        <w:t xml:space="preserve">（十七）供应商存在提供虚假材料谋取中标、成交，采取不 正当手段诋毁、排挤其他供应商，与采购人、其他供应商或者采 购代理机构恶意串通，向采购人、采购代理机构行贿或者提供其 他不正当利益，在招标采购过程中与采购人进行协商谈判，或拒 绝有关部门监督检查或者提供虚假情况等情形的； </w:t>
      </w:r>
    </w:p>
    <w:p>
      <w:pPr>
        <w:adjustRightInd w:val="0"/>
        <w:snapToGrid w:val="0"/>
        <w:spacing w:line="560" w:lineRule="exact"/>
        <w:ind w:left="141" w:leftChars="67" w:firstLine="420" w:firstLineChars="150"/>
        <w:jc w:val="left"/>
        <w:rPr>
          <w:rFonts w:hint="eastAsia" w:ascii="仿宋_GB2312" w:eastAsia="仿宋_GB2312"/>
          <w:color w:val="000000"/>
          <w:sz w:val="28"/>
          <w:szCs w:val="28"/>
        </w:rPr>
      </w:pPr>
      <w:r>
        <w:rPr>
          <w:rFonts w:hint="eastAsia" w:ascii="仿宋_GB2312" w:eastAsia="仿宋_GB2312"/>
          <w:color w:val="000000"/>
          <w:sz w:val="28"/>
          <w:szCs w:val="28"/>
        </w:rPr>
        <w:t xml:space="preserve">（十八）疫苗生产企业向县级疾病预防控制机构以外的单位或者个人销售第二类疫苗的； </w:t>
      </w:r>
    </w:p>
    <w:p>
      <w:pPr>
        <w:adjustRightInd w:val="0"/>
        <w:snapToGrid w:val="0"/>
        <w:spacing w:line="560" w:lineRule="exact"/>
        <w:ind w:left="141" w:leftChars="67" w:firstLine="420" w:firstLineChars="150"/>
        <w:jc w:val="left"/>
        <w:rPr>
          <w:rFonts w:hint="eastAsia" w:ascii="仿宋_GB2312" w:hAnsi="宋体" w:eastAsia="仿宋_GB2312"/>
          <w:color w:val="000000"/>
          <w:sz w:val="28"/>
          <w:szCs w:val="28"/>
        </w:rPr>
      </w:pPr>
      <w:r>
        <w:rPr>
          <w:rFonts w:hint="eastAsia" w:ascii="仿宋_GB2312" w:eastAsia="仿宋_GB2312"/>
          <w:color w:val="000000"/>
          <w:sz w:val="28"/>
          <w:szCs w:val="28"/>
        </w:rPr>
        <w:t>（十九）存在其他违反公共资源交易法律法规行为的。</w:t>
      </w:r>
    </w:p>
    <w:p>
      <w:pPr>
        <w:adjustRightInd w:val="0"/>
        <w:snapToGrid w:val="0"/>
        <w:spacing w:line="560" w:lineRule="exact"/>
        <w:ind w:firstLine="894" w:firstLineChars="318"/>
        <w:jc w:val="left"/>
        <w:rPr>
          <w:rFonts w:hint="eastAsia" w:ascii="仿宋_GB2312" w:hAnsi="宋体" w:eastAsia="仿宋_GB2312"/>
          <w:b/>
          <w:color w:val="000000"/>
          <w:sz w:val="28"/>
          <w:szCs w:val="28"/>
        </w:rPr>
      </w:pPr>
      <w:r>
        <w:rPr>
          <w:rFonts w:hint="eastAsia" w:ascii="仿宋_GB2312" w:hAnsi="宋体" w:eastAsia="仿宋_GB2312"/>
          <w:b/>
          <w:color w:val="000000"/>
          <w:sz w:val="28"/>
          <w:szCs w:val="28"/>
        </w:rPr>
        <w:t>依据：《关于对公共资源交易领域严重失信主体开展联合惩戒的备忘录》（发改法规〔2018〕457号）</w:t>
      </w:r>
    </w:p>
    <w:p>
      <w:pPr>
        <w:adjustRightInd w:val="0"/>
        <w:snapToGrid w:val="0"/>
        <w:spacing w:line="560" w:lineRule="exact"/>
        <w:ind w:firstLine="645"/>
        <w:jc w:val="left"/>
        <w:rPr>
          <w:rFonts w:hint="eastAsia" w:ascii="仿宋_GB2312" w:hAnsi="宋体" w:eastAsia="仿宋_GB2312"/>
          <w:color w:val="000000"/>
          <w:sz w:val="28"/>
          <w:szCs w:val="28"/>
        </w:rPr>
      </w:pPr>
    </w:p>
    <w:p>
      <w:pPr>
        <w:adjustRightInd w:val="0"/>
        <w:snapToGrid w:val="0"/>
        <w:spacing w:line="560" w:lineRule="exact"/>
        <w:ind w:firstLine="645"/>
        <w:jc w:val="left"/>
        <w:rPr>
          <w:rFonts w:hint="eastAsia" w:ascii="仿宋_GB2312" w:hAnsi="宋体" w:eastAsia="仿宋_GB2312"/>
          <w:b/>
          <w:bCs/>
          <w:color w:val="000000"/>
          <w:sz w:val="28"/>
          <w:szCs w:val="28"/>
        </w:rPr>
      </w:pPr>
      <w:r>
        <w:rPr>
          <w:rFonts w:hint="eastAsia" w:ascii="仿宋_GB2312" w:hAnsi="宋体" w:eastAsia="仿宋_GB2312"/>
          <w:b/>
          <w:color w:val="000000"/>
          <w:sz w:val="28"/>
          <w:szCs w:val="28"/>
        </w:rPr>
        <w:t>四、</w:t>
      </w:r>
      <w:r>
        <w:rPr>
          <w:rFonts w:hint="eastAsia" w:ascii="仿宋_GB2312" w:hAnsi="宋体" w:eastAsia="仿宋_GB2312"/>
          <w:b/>
          <w:bCs/>
          <w:color w:val="000000"/>
          <w:sz w:val="28"/>
          <w:szCs w:val="28"/>
        </w:rPr>
        <w:t>社会保险领域严重失信行为</w:t>
      </w:r>
    </w:p>
    <w:p>
      <w:pPr>
        <w:adjustRightInd w:val="0"/>
        <w:snapToGrid w:val="0"/>
        <w:spacing w:line="560" w:lineRule="exact"/>
        <w:ind w:left="141" w:leftChars="67" w:firstLine="420" w:firstLineChars="150"/>
        <w:jc w:val="left"/>
        <w:rPr>
          <w:rFonts w:hint="eastAsia" w:ascii="仿宋_GB2312" w:eastAsia="仿宋_GB2312"/>
          <w:color w:val="000000"/>
          <w:sz w:val="28"/>
          <w:szCs w:val="28"/>
        </w:rPr>
      </w:pPr>
      <w:r>
        <w:rPr>
          <w:rFonts w:hint="eastAsia" w:ascii="仿宋_GB2312" w:eastAsia="仿宋_GB2312"/>
          <w:color w:val="000000"/>
          <w:sz w:val="28"/>
          <w:szCs w:val="28"/>
        </w:rPr>
        <w:t xml:space="preserve">（一）用人单位未按相关规定参加社会保险且拒不整改的； </w:t>
      </w:r>
    </w:p>
    <w:p>
      <w:pPr>
        <w:adjustRightInd w:val="0"/>
        <w:snapToGrid w:val="0"/>
        <w:spacing w:line="560" w:lineRule="exact"/>
        <w:ind w:left="141" w:leftChars="67" w:firstLine="420" w:firstLineChars="150"/>
        <w:jc w:val="left"/>
        <w:rPr>
          <w:rFonts w:hint="eastAsia" w:ascii="仿宋_GB2312" w:eastAsia="仿宋_GB2312"/>
          <w:color w:val="000000"/>
          <w:sz w:val="28"/>
          <w:szCs w:val="28"/>
        </w:rPr>
      </w:pPr>
      <w:r>
        <w:rPr>
          <w:rFonts w:hint="eastAsia" w:ascii="仿宋_GB2312" w:eastAsia="仿宋_GB2312"/>
          <w:color w:val="000000"/>
          <w:sz w:val="28"/>
          <w:szCs w:val="28"/>
        </w:rPr>
        <w:t xml:space="preserve">（二）用人单位未如实申报社会保险缴费基数且拒不整改的； </w:t>
      </w:r>
    </w:p>
    <w:p>
      <w:pPr>
        <w:adjustRightInd w:val="0"/>
        <w:snapToGrid w:val="0"/>
        <w:spacing w:line="560" w:lineRule="exact"/>
        <w:ind w:left="141" w:leftChars="67" w:firstLine="420" w:firstLineChars="150"/>
        <w:jc w:val="left"/>
        <w:rPr>
          <w:rFonts w:hint="eastAsia" w:ascii="仿宋_GB2312" w:eastAsia="仿宋_GB2312"/>
          <w:color w:val="000000"/>
          <w:sz w:val="28"/>
          <w:szCs w:val="28"/>
        </w:rPr>
      </w:pPr>
      <w:r>
        <w:rPr>
          <w:rFonts w:hint="eastAsia" w:ascii="仿宋_GB2312" w:eastAsia="仿宋_GB2312"/>
          <w:color w:val="000000"/>
          <w:sz w:val="28"/>
          <w:szCs w:val="28"/>
        </w:rPr>
        <w:t xml:space="preserve">（三）应缴纳社会保险费却拒不缴纳的； </w:t>
      </w:r>
    </w:p>
    <w:p>
      <w:pPr>
        <w:adjustRightInd w:val="0"/>
        <w:snapToGrid w:val="0"/>
        <w:spacing w:line="560" w:lineRule="exact"/>
        <w:ind w:left="141" w:leftChars="67" w:firstLine="420" w:firstLineChars="150"/>
        <w:jc w:val="left"/>
        <w:rPr>
          <w:rFonts w:hint="eastAsia" w:ascii="仿宋_GB2312" w:eastAsia="仿宋_GB2312"/>
          <w:color w:val="000000"/>
          <w:sz w:val="28"/>
          <w:szCs w:val="28"/>
        </w:rPr>
      </w:pPr>
      <w:r>
        <w:rPr>
          <w:rFonts w:hint="eastAsia" w:ascii="仿宋_GB2312" w:eastAsia="仿宋_GB2312"/>
          <w:color w:val="000000"/>
          <w:sz w:val="28"/>
          <w:szCs w:val="28"/>
        </w:rPr>
        <w:t>（四）隐匿、转移、侵占、挪用社会保险费款、基金或者违规投资运营的；</w:t>
      </w:r>
    </w:p>
    <w:p>
      <w:pPr>
        <w:adjustRightInd w:val="0"/>
        <w:snapToGrid w:val="0"/>
        <w:spacing w:line="560" w:lineRule="exact"/>
        <w:ind w:left="141" w:leftChars="67" w:firstLine="420" w:firstLineChars="150"/>
        <w:jc w:val="left"/>
        <w:rPr>
          <w:rFonts w:hint="eastAsia" w:ascii="仿宋_GB2312" w:eastAsia="仿宋_GB2312"/>
          <w:color w:val="000000"/>
          <w:sz w:val="28"/>
          <w:szCs w:val="28"/>
        </w:rPr>
      </w:pPr>
      <w:r>
        <w:rPr>
          <w:rFonts w:hint="eastAsia" w:ascii="仿宋_GB2312" w:eastAsia="仿宋_GB2312"/>
          <w:color w:val="000000"/>
          <w:sz w:val="28"/>
          <w:szCs w:val="28"/>
        </w:rPr>
        <w:t xml:space="preserve">（五）以欺诈、伪造证明材料或者其他手段参加、申报社会保险和骗取社会保险基金支出或社会保险待遇的； </w:t>
      </w:r>
    </w:p>
    <w:p>
      <w:pPr>
        <w:adjustRightInd w:val="0"/>
        <w:snapToGrid w:val="0"/>
        <w:spacing w:line="560" w:lineRule="exact"/>
        <w:ind w:left="141" w:leftChars="67" w:firstLine="420" w:firstLineChars="150"/>
        <w:jc w:val="left"/>
        <w:rPr>
          <w:rFonts w:hint="eastAsia" w:ascii="仿宋_GB2312" w:eastAsia="仿宋_GB2312"/>
          <w:color w:val="000000"/>
          <w:sz w:val="28"/>
          <w:szCs w:val="28"/>
        </w:rPr>
      </w:pPr>
      <w:r>
        <w:rPr>
          <w:rFonts w:hint="eastAsia" w:ascii="仿宋_GB2312" w:eastAsia="仿宋_GB2312"/>
          <w:color w:val="000000"/>
          <w:sz w:val="28"/>
          <w:szCs w:val="28"/>
        </w:rPr>
        <w:t xml:space="preserve">（六）非法获取、出售或变相交易社会保险个人权益数据的； </w:t>
      </w:r>
    </w:p>
    <w:p>
      <w:pPr>
        <w:adjustRightInd w:val="0"/>
        <w:snapToGrid w:val="0"/>
        <w:spacing w:line="560" w:lineRule="exact"/>
        <w:ind w:left="141" w:leftChars="67" w:firstLine="420" w:firstLineChars="150"/>
        <w:jc w:val="left"/>
        <w:rPr>
          <w:rFonts w:hint="eastAsia" w:ascii="仿宋_GB2312" w:eastAsia="仿宋_GB2312"/>
          <w:color w:val="000000"/>
          <w:sz w:val="28"/>
          <w:szCs w:val="28"/>
        </w:rPr>
      </w:pPr>
      <w:r>
        <w:rPr>
          <w:rFonts w:hint="eastAsia" w:ascii="仿宋_GB2312" w:eastAsia="仿宋_GB2312"/>
          <w:color w:val="000000"/>
          <w:sz w:val="28"/>
          <w:szCs w:val="28"/>
        </w:rPr>
        <w:t xml:space="preserve">（七）社会保险服务机构违反服务协议或相关规定的； </w:t>
      </w:r>
    </w:p>
    <w:p>
      <w:pPr>
        <w:adjustRightInd w:val="0"/>
        <w:snapToGrid w:val="0"/>
        <w:spacing w:line="560" w:lineRule="exact"/>
        <w:ind w:left="141" w:leftChars="67" w:firstLine="420" w:firstLineChars="150"/>
        <w:jc w:val="left"/>
        <w:rPr>
          <w:rFonts w:hint="eastAsia" w:ascii="仿宋_GB2312" w:eastAsia="仿宋_GB2312"/>
          <w:color w:val="000000"/>
          <w:sz w:val="28"/>
          <w:szCs w:val="28"/>
        </w:rPr>
      </w:pPr>
      <w:r>
        <w:rPr>
          <w:rFonts w:hint="eastAsia" w:ascii="仿宋_GB2312" w:eastAsia="仿宋_GB2312"/>
          <w:color w:val="000000"/>
          <w:sz w:val="28"/>
          <w:szCs w:val="28"/>
        </w:rPr>
        <w:t xml:space="preserve">（八）拒绝协助社会保险行政部门、经办机构对事故和问题进 行调查核实的；拒绝接受或协助税务部门对社会保险实施监督检查， 不如实提供与社会保险相关各项资料的； </w:t>
      </w:r>
    </w:p>
    <w:p>
      <w:pPr>
        <w:adjustRightInd w:val="0"/>
        <w:snapToGrid w:val="0"/>
        <w:spacing w:line="560" w:lineRule="exact"/>
        <w:ind w:left="141" w:leftChars="67" w:firstLine="420" w:firstLineChars="150"/>
        <w:jc w:val="left"/>
        <w:rPr>
          <w:rFonts w:hint="eastAsia" w:ascii="仿宋_GB2312" w:eastAsia="仿宋_GB2312"/>
          <w:color w:val="000000"/>
          <w:sz w:val="28"/>
          <w:szCs w:val="28"/>
        </w:rPr>
      </w:pPr>
      <w:r>
        <w:rPr>
          <w:rFonts w:hint="eastAsia" w:ascii="仿宋_GB2312" w:eastAsia="仿宋_GB2312"/>
          <w:color w:val="000000"/>
          <w:sz w:val="28"/>
          <w:szCs w:val="28"/>
        </w:rPr>
        <w:t>（九）其他违反法律法规规定的。</w:t>
      </w:r>
    </w:p>
    <w:p>
      <w:pPr>
        <w:adjustRightInd w:val="0"/>
        <w:snapToGrid w:val="0"/>
        <w:spacing w:line="560" w:lineRule="exact"/>
        <w:ind w:firstLine="551" w:firstLineChars="196"/>
        <w:jc w:val="left"/>
        <w:rPr>
          <w:rFonts w:hint="eastAsia" w:ascii="仿宋_GB2312" w:eastAsia="仿宋_GB2312"/>
          <w:color w:val="000000"/>
          <w:sz w:val="28"/>
          <w:szCs w:val="28"/>
        </w:rPr>
      </w:pPr>
      <w:r>
        <w:rPr>
          <w:rFonts w:hint="eastAsia" w:ascii="仿宋_GB2312" w:eastAsia="仿宋_GB2312"/>
          <w:b/>
          <w:color w:val="000000"/>
          <w:sz w:val="28"/>
          <w:szCs w:val="28"/>
        </w:rPr>
        <w:t>依据：《关于对社会保险领域严重失信企业及其有关人员实施联合惩戒的合作备忘录》（发改财金〔2018〕1704号）</w:t>
      </w:r>
    </w:p>
    <w:p>
      <w:pPr>
        <w:adjustRightInd w:val="0"/>
        <w:snapToGrid w:val="0"/>
        <w:spacing w:line="560" w:lineRule="exact"/>
        <w:jc w:val="left"/>
        <w:rPr>
          <w:rFonts w:hint="eastAsia" w:ascii="仿宋_GB2312" w:hAnsi="宋体" w:eastAsia="仿宋_GB2312"/>
          <w:color w:val="000000"/>
          <w:sz w:val="28"/>
          <w:szCs w:val="28"/>
        </w:rPr>
      </w:pPr>
      <w:r>
        <w:rPr>
          <w:rFonts w:hint="eastAsia" w:ascii="仿宋_GB2312" w:hAnsi="宋体" w:eastAsia="仿宋_GB2312"/>
          <w:color w:val="000000"/>
          <w:sz w:val="28"/>
          <w:szCs w:val="28"/>
        </w:rPr>
        <w:t xml:space="preserve">     </w:t>
      </w:r>
    </w:p>
    <w:p>
      <w:pPr>
        <w:adjustRightInd w:val="0"/>
        <w:snapToGrid w:val="0"/>
        <w:spacing w:line="560" w:lineRule="exact"/>
        <w:ind w:firstLine="562" w:firstLineChars="200"/>
        <w:jc w:val="left"/>
        <w:rPr>
          <w:rFonts w:hint="eastAsia" w:ascii="仿宋_GB2312" w:hAnsi="宋体" w:eastAsia="仿宋_GB2312"/>
          <w:b/>
          <w:bCs/>
          <w:color w:val="000000"/>
          <w:sz w:val="28"/>
          <w:szCs w:val="28"/>
        </w:rPr>
      </w:pPr>
      <w:r>
        <w:rPr>
          <w:rFonts w:hint="eastAsia" w:ascii="仿宋_GB2312" w:hAnsi="宋体" w:eastAsia="仿宋_GB2312"/>
          <w:b/>
          <w:color w:val="000000"/>
          <w:sz w:val="28"/>
          <w:szCs w:val="28"/>
        </w:rPr>
        <w:t>五、建筑市场领域</w:t>
      </w:r>
      <w:r>
        <w:rPr>
          <w:rFonts w:hint="eastAsia" w:ascii="仿宋_GB2312" w:hAnsi="宋体" w:eastAsia="仿宋_GB2312"/>
          <w:b/>
          <w:bCs/>
          <w:color w:val="000000"/>
          <w:sz w:val="28"/>
          <w:szCs w:val="28"/>
        </w:rPr>
        <w:t>严重失信行为</w:t>
      </w:r>
    </w:p>
    <w:p>
      <w:pPr>
        <w:adjustRightInd w:val="0"/>
        <w:snapToGrid w:val="0"/>
        <w:spacing w:line="560" w:lineRule="exact"/>
        <w:ind w:firstLine="560" w:firstLineChars="200"/>
        <w:jc w:val="left"/>
        <w:rPr>
          <w:rFonts w:hint="eastAsia" w:ascii="仿宋_GB2312" w:eastAsia="仿宋_GB2312"/>
          <w:color w:val="000000"/>
          <w:sz w:val="28"/>
          <w:szCs w:val="28"/>
        </w:rPr>
      </w:pPr>
      <w:r>
        <w:rPr>
          <w:rFonts w:hint="eastAsia" w:ascii="仿宋_GB2312" w:eastAsia="仿宋_GB2312"/>
          <w:color w:val="000000"/>
          <w:sz w:val="28"/>
          <w:szCs w:val="28"/>
        </w:rPr>
        <w:t>（一）利用虚假材料、以欺骗手段取得企业资质的；</w:t>
      </w:r>
    </w:p>
    <w:p>
      <w:pPr>
        <w:adjustRightInd w:val="0"/>
        <w:snapToGrid w:val="0"/>
        <w:spacing w:line="560" w:lineRule="exact"/>
        <w:ind w:firstLine="560" w:firstLineChars="200"/>
        <w:jc w:val="left"/>
        <w:rPr>
          <w:rFonts w:hint="eastAsia" w:ascii="仿宋_GB2312" w:eastAsia="仿宋_GB2312"/>
          <w:color w:val="000000"/>
          <w:sz w:val="28"/>
          <w:szCs w:val="28"/>
        </w:rPr>
      </w:pPr>
      <w:r>
        <w:rPr>
          <w:rFonts w:hint="eastAsia" w:ascii="仿宋_GB2312" w:eastAsia="仿宋_GB2312"/>
          <w:color w:val="000000"/>
          <w:sz w:val="28"/>
          <w:szCs w:val="28"/>
        </w:rPr>
        <w:t>（二）发生转包、出借资质，受到行政处罚的；</w:t>
      </w:r>
    </w:p>
    <w:p>
      <w:pPr>
        <w:adjustRightInd w:val="0"/>
        <w:snapToGrid w:val="0"/>
        <w:spacing w:line="560" w:lineRule="exact"/>
        <w:ind w:firstLine="560" w:firstLineChars="200"/>
        <w:jc w:val="left"/>
        <w:rPr>
          <w:rFonts w:hint="eastAsia" w:ascii="仿宋_GB2312" w:eastAsia="仿宋_GB2312"/>
          <w:color w:val="000000"/>
          <w:sz w:val="28"/>
          <w:szCs w:val="28"/>
        </w:rPr>
      </w:pPr>
      <w:r>
        <w:rPr>
          <w:rFonts w:hint="eastAsia" w:ascii="仿宋_GB2312" w:eastAsia="仿宋_GB2312"/>
          <w:color w:val="000000"/>
          <w:sz w:val="28"/>
          <w:szCs w:val="28"/>
        </w:rPr>
        <w:t>（三）发生重大及以上工程质量安全事故，或1年内累计发生2次及以上较大工程质量安全事故，或发生性质恶劣、危害性严重、社会影响大的较大工程质量安全事故，受到行政处罚的；</w:t>
      </w:r>
    </w:p>
    <w:p>
      <w:pPr>
        <w:adjustRightInd w:val="0"/>
        <w:snapToGrid w:val="0"/>
        <w:spacing w:line="560" w:lineRule="exact"/>
        <w:ind w:firstLine="560" w:firstLineChars="200"/>
        <w:jc w:val="left"/>
        <w:rPr>
          <w:rFonts w:hint="eastAsia" w:ascii="仿宋_GB2312" w:eastAsia="仿宋_GB2312"/>
          <w:color w:val="000000"/>
          <w:sz w:val="28"/>
          <w:szCs w:val="28"/>
        </w:rPr>
      </w:pPr>
      <w:r>
        <w:rPr>
          <w:rFonts w:hint="eastAsia" w:ascii="仿宋_GB2312" w:eastAsia="仿宋_GB2312"/>
          <w:color w:val="000000"/>
          <w:sz w:val="28"/>
          <w:szCs w:val="28"/>
        </w:rPr>
        <w:t>（四）经法院判决或仲裁机构裁决，认定为拖欠工程款,且拒不履行生效法律文书确定的义务的。</w:t>
      </w:r>
    </w:p>
    <w:p>
      <w:pPr>
        <w:adjustRightInd w:val="0"/>
        <w:snapToGrid w:val="0"/>
        <w:spacing w:line="560" w:lineRule="exact"/>
        <w:ind w:firstLine="560" w:firstLineChars="200"/>
        <w:jc w:val="left"/>
        <w:rPr>
          <w:rFonts w:hint="eastAsia" w:ascii="仿宋_GB2312" w:eastAsia="仿宋_GB2312"/>
          <w:color w:val="000000"/>
          <w:sz w:val="28"/>
          <w:szCs w:val="28"/>
        </w:rPr>
      </w:pPr>
      <w:r>
        <w:rPr>
          <w:rFonts w:hint="eastAsia" w:ascii="仿宋_GB2312" w:eastAsia="仿宋_GB2312"/>
          <w:color w:val="000000"/>
          <w:sz w:val="28"/>
          <w:szCs w:val="28"/>
        </w:rPr>
        <w:t>各级住房城乡建设主管部门应当参照建筑市场主体“黑名单”，对被人力资源社会保障行政部门列入拖欠农民工工资“黑名单”的建筑市场各方主体加强监管。</w:t>
      </w:r>
    </w:p>
    <w:p>
      <w:pPr>
        <w:ind w:firstLine="562" w:firstLineChars="200"/>
        <w:jc w:val="left"/>
        <w:rPr>
          <w:rFonts w:hint="eastAsia" w:ascii="宋体" w:hAnsi="宋体"/>
          <w:color w:val="000000"/>
          <w:sz w:val="28"/>
          <w:szCs w:val="28"/>
        </w:rPr>
      </w:pPr>
      <w:r>
        <w:rPr>
          <w:rFonts w:hint="eastAsia" w:ascii="仿宋_GB2312" w:eastAsia="仿宋_GB2312"/>
          <w:b/>
          <w:color w:val="000000"/>
          <w:sz w:val="28"/>
          <w:szCs w:val="28"/>
        </w:rPr>
        <w:t>依据：《建筑市场信用管理暂行办法》（建市〔2017〕241号）</w:t>
      </w:r>
    </w:p>
    <w:p>
      <w:pPr>
        <w:adjustRightInd w:val="0"/>
        <w:snapToGrid w:val="0"/>
        <w:spacing w:line="560" w:lineRule="exact"/>
        <w:rPr>
          <w:rFonts w:hint="eastAsia" w:ascii="仿宋_GB2312" w:hAnsi="宋体" w:eastAsia="仿宋_GB2312"/>
          <w:b/>
          <w:color w:val="000000"/>
          <w:sz w:val="28"/>
          <w:szCs w:val="28"/>
        </w:rPr>
      </w:pPr>
    </w:p>
    <w:p>
      <w:pPr>
        <w:adjustRightInd w:val="0"/>
        <w:snapToGrid w:val="0"/>
        <w:spacing w:line="560" w:lineRule="exact"/>
        <w:ind w:firstLine="562" w:firstLineChars="200"/>
        <w:rPr>
          <w:rFonts w:hint="eastAsia" w:ascii="仿宋_GB2312" w:hAnsi="宋体" w:eastAsia="仿宋_GB2312"/>
          <w:b/>
          <w:color w:val="000000"/>
          <w:sz w:val="28"/>
          <w:szCs w:val="28"/>
        </w:rPr>
      </w:pPr>
      <w:r>
        <w:rPr>
          <w:rFonts w:hint="eastAsia" w:ascii="仿宋_GB2312" w:hAnsi="宋体" w:eastAsia="仿宋_GB2312"/>
          <w:b/>
          <w:color w:val="000000"/>
          <w:sz w:val="28"/>
          <w:szCs w:val="28"/>
        </w:rPr>
        <w:t>六、政府采购严重失信行为</w:t>
      </w:r>
    </w:p>
    <w:p>
      <w:pPr>
        <w:adjustRightInd w:val="0"/>
        <w:snapToGrid w:val="0"/>
        <w:spacing w:line="560" w:lineRule="exact"/>
        <w:ind w:firstLine="615"/>
        <w:rPr>
          <w:rFonts w:hint="eastAsia" w:ascii="仿宋_GB2312" w:eastAsia="仿宋_GB2312"/>
          <w:color w:val="000000"/>
          <w:sz w:val="28"/>
          <w:szCs w:val="28"/>
        </w:rPr>
      </w:pPr>
      <w:r>
        <w:rPr>
          <w:rFonts w:hint="eastAsia" w:ascii="仿宋_GB2312" w:eastAsia="仿宋_GB2312"/>
          <w:color w:val="000000"/>
          <w:sz w:val="28"/>
          <w:szCs w:val="28"/>
        </w:rPr>
        <w:t>供应商、采购代理机构在三年内受到财政部门作出下列情形之一的行政处罚，列入政府采购严重违法失信行为记录名单。</w:t>
      </w:r>
      <w:r>
        <w:rPr>
          <w:rFonts w:hint="eastAsia" w:ascii="仿宋_GB2312" w:eastAsia="仿宋_GB2312"/>
          <w:color w:val="000000"/>
          <w:sz w:val="28"/>
          <w:szCs w:val="28"/>
        </w:rPr>
        <w:br w:type="textWrapping"/>
      </w:r>
      <w:r>
        <w:rPr>
          <w:rFonts w:hint="eastAsia" w:ascii="仿宋_GB2312" w:eastAsia="仿宋_GB2312"/>
          <w:color w:val="000000"/>
          <w:sz w:val="28"/>
          <w:szCs w:val="28"/>
        </w:rPr>
        <w:t>　　（一）三万元以上罚款；</w:t>
      </w:r>
      <w:r>
        <w:rPr>
          <w:rFonts w:hint="eastAsia" w:ascii="仿宋_GB2312" w:eastAsia="仿宋_GB2312"/>
          <w:color w:val="000000"/>
          <w:sz w:val="28"/>
          <w:szCs w:val="28"/>
        </w:rPr>
        <w:br w:type="textWrapping"/>
      </w:r>
      <w:r>
        <w:rPr>
          <w:rFonts w:hint="eastAsia" w:ascii="仿宋_GB2312" w:eastAsia="仿宋_GB2312"/>
          <w:color w:val="000000"/>
          <w:sz w:val="28"/>
          <w:szCs w:val="28"/>
        </w:rPr>
        <w:t>　　（二）在一至三年内禁止参加政府采购活动（处罚期限届满的除外）；</w:t>
      </w:r>
      <w:r>
        <w:rPr>
          <w:rFonts w:hint="eastAsia" w:ascii="仿宋_GB2312" w:eastAsia="仿宋_GB2312"/>
          <w:color w:val="000000"/>
          <w:sz w:val="28"/>
          <w:szCs w:val="28"/>
        </w:rPr>
        <w:br w:type="textWrapping"/>
      </w:r>
      <w:r>
        <w:rPr>
          <w:rFonts w:hint="eastAsia" w:ascii="仿宋_GB2312" w:eastAsia="仿宋_GB2312"/>
          <w:color w:val="000000"/>
          <w:sz w:val="28"/>
          <w:szCs w:val="28"/>
        </w:rPr>
        <w:t>　　（三）在一至三年内禁止代理政府采购业务（处罚期限届满的除外）；</w:t>
      </w:r>
      <w:r>
        <w:rPr>
          <w:rFonts w:hint="eastAsia" w:ascii="仿宋_GB2312" w:eastAsia="仿宋_GB2312"/>
          <w:color w:val="000000"/>
          <w:sz w:val="28"/>
          <w:szCs w:val="28"/>
        </w:rPr>
        <w:br w:type="textWrapping"/>
      </w:r>
      <w:r>
        <w:rPr>
          <w:rFonts w:hint="eastAsia" w:ascii="仿宋_GB2312" w:hAnsi="宋体" w:eastAsia="仿宋_GB2312"/>
          <w:color w:val="000000"/>
          <w:sz w:val="28"/>
          <w:szCs w:val="28"/>
        </w:rPr>
        <w:t xml:space="preserve">　 </w:t>
      </w:r>
      <w:r>
        <w:rPr>
          <w:rFonts w:hint="eastAsia" w:ascii="仿宋_GB2312" w:eastAsia="仿宋_GB2312"/>
          <w:color w:val="000000"/>
          <w:sz w:val="28"/>
          <w:szCs w:val="28"/>
        </w:rPr>
        <w:t>（四）撤销政府采购代理机构资格（仅针对《政府采购法》第78条修改前作出的处罚决定）。</w:t>
      </w:r>
    </w:p>
    <w:p>
      <w:pPr>
        <w:adjustRightInd w:val="0"/>
        <w:snapToGrid w:val="0"/>
        <w:spacing w:line="560" w:lineRule="exact"/>
        <w:ind w:firstLine="562" w:firstLineChars="200"/>
        <w:jc w:val="left"/>
        <w:rPr>
          <w:rFonts w:hint="eastAsia" w:ascii="仿宋_GB2312" w:eastAsia="仿宋_GB2312"/>
          <w:b/>
          <w:color w:val="000000"/>
          <w:sz w:val="28"/>
          <w:szCs w:val="28"/>
        </w:rPr>
      </w:pPr>
      <w:r>
        <w:rPr>
          <w:rFonts w:hint="eastAsia" w:ascii="仿宋_GB2312" w:eastAsia="仿宋_GB2312"/>
          <w:b/>
          <w:color w:val="000000"/>
          <w:sz w:val="28"/>
          <w:szCs w:val="28"/>
        </w:rPr>
        <w:t>依据：《关于报送政府采购严重违法失信行为信息记录的通知》</w:t>
      </w:r>
      <w:r>
        <w:rPr>
          <w:b/>
          <w:color w:val="000000"/>
          <w:sz w:val="28"/>
          <w:szCs w:val="28"/>
        </w:rPr>
        <w:t>（</w:t>
      </w:r>
      <w:r>
        <w:rPr>
          <w:rFonts w:hint="eastAsia"/>
          <w:b/>
          <w:color w:val="000000"/>
          <w:sz w:val="28"/>
          <w:szCs w:val="28"/>
        </w:rPr>
        <w:t>财办库〔</w:t>
      </w:r>
      <w:r>
        <w:rPr>
          <w:b/>
          <w:color w:val="000000"/>
          <w:sz w:val="28"/>
          <w:szCs w:val="28"/>
        </w:rPr>
        <w:t>201</w:t>
      </w:r>
      <w:r>
        <w:rPr>
          <w:rFonts w:hint="eastAsia"/>
          <w:b/>
          <w:color w:val="000000"/>
          <w:sz w:val="28"/>
          <w:szCs w:val="28"/>
        </w:rPr>
        <w:t>4〕526</w:t>
      </w:r>
      <w:r>
        <w:rPr>
          <w:b/>
          <w:color w:val="000000"/>
          <w:sz w:val="28"/>
          <w:szCs w:val="28"/>
        </w:rPr>
        <w:t>号）</w:t>
      </w:r>
    </w:p>
    <w:p>
      <w:pPr>
        <w:adjustRightInd w:val="0"/>
        <w:snapToGrid w:val="0"/>
        <w:spacing w:line="560" w:lineRule="exact"/>
        <w:ind w:firstLine="562" w:firstLineChars="200"/>
        <w:rPr>
          <w:rFonts w:hint="eastAsia" w:ascii="仿宋_GB2312" w:hAnsi="宋体" w:eastAsia="仿宋_GB2312"/>
          <w:b/>
          <w:color w:val="000000"/>
          <w:sz w:val="28"/>
          <w:szCs w:val="28"/>
        </w:rPr>
      </w:pPr>
    </w:p>
    <w:p>
      <w:pPr>
        <w:adjustRightInd w:val="0"/>
        <w:snapToGrid w:val="0"/>
        <w:spacing w:line="560" w:lineRule="exact"/>
        <w:ind w:firstLine="562" w:firstLineChars="200"/>
        <w:rPr>
          <w:rFonts w:hint="eastAsia" w:ascii="仿宋_GB2312" w:hAnsi="宋体" w:eastAsia="仿宋_GB2312"/>
          <w:b/>
          <w:color w:val="000000"/>
          <w:sz w:val="28"/>
          <w:szCs w:val="28"/>
        </w:rPr>
      </w:pPr>
      <w:r>
        <w:rPr>
          <w:rFonts w:hint="eastAsia" w:ascii="仿宋_GB2312" w:hAnsi="宋体" w:eastAsia="仿宋_GB2312"/>
          <w:b/>
          <w:color w:val="000000"/>
          <w:sz w:val="28"/>
          <w:szCs w:val="28"/>
        </w:rPr>
        <w:t>七、水利建设领域严重失信行为</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（一）1年内不良行为记录累计扣分达到20分的；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（二）"重点关注名单"公开期满后仍不整改的；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（三）存在以下严重危害人民群众身体健康、生命安全和工程质量，以及特别严重违规行为之一的：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1.发生重大、特大质量或安全事故，并负有直接责任的；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2.在单位公开信息、工程相关技术成果和工程建设过程中隐瞒真实情况、弄虚作假，提供虚假材料，谋取不正当利益的；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3.违反有关法律、法规、规章、政策、技术标准、设计文件、合同等有关规定开展工作造成的工程质量问题，经处理后仍影响工程正常使用或减少工程使用寿命的；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4.违反规定施工，造成生态环境严重破坏且拒不修复的；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5.被证实恶意制造工程质量缺陷或质量隐患的；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6.其他违反法律法规，造成严重后果或社会危害较大的。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（四）存在以下严重破坏市场公平竞争秩序和社会正常秩序行为之一的：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1.不按合同约定，恶意拖欠承包人项目款的；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2.隐瞒有关情况或者提供虚假材料申请资质的，在全国水利建设市场监管服务平台公开虚假信息的，以欺骗、贿赂等不正当手段取得资质等级证书的；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3.出借、借用资质证书,允许他人以本单位名义或借用他人名义等弄虚作假方式承揽业务的；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4.未取得相应资质或超越资质证书核定范围、营业范围承揽业务的；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5.操纵招标过程，谋取不正当利益的；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6.与招标人或投标人串通投标的；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7.以向招标人或评标委员会成员行贿的手段谋取中标的；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8.中标后，无正当理由不签订合同的；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9.转包或违法分包所承揽业务的；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10.弄虚作假，以欺诈手段降低工程或设备质量的；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11.单位行贿、受贿，受到刑事处罚的；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12.逃税骗税、恶意逃废债务的；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13.参与非法集资，受到刑事处罚的；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14.在签订、履行合同过程中，存在合同欺诈行为，受到刑事处罚的；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15.虚构工程项目，套取资金的；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16.克扣、无故拖欠农民工工资报酬，数额达到认定拒不支付劳动报酬罪数额标准的；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17.发生社会公共事件，影响较大，并负有直接责任的。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（五）存在以下拒不履行法定义务，严重影响司法机关、行政机关公信力行为之一的：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1.发生事故拒绝接受调查或拒绝提供有关资料的；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2.拒不执行生效的行政处罚决定的；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3.拒不执行仲裁、法院判决结果的。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（六）被相关联合惩戒部门列入"黑名单"，符合联合惩戒措施的。</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生产建设项目水土保持市场主体"黑名单"列入标准见《水利建设市场主体信用信息管理办法》附件。</w:t>
      </w:r>
    </w:p>
    <w:p>
      <w:pPr>
        <w:adjustRightInd w:val="0"/>
        <w:snapToGrid w:val="0"/>
        <w:spacing w:line="560" w:lineRule="exact"/>
        <w:ind w:firstLine="615"/>
        <w:rPr>
          <w:rFonts w:hint="eastAsia" w:ascii="仿宋_GB2312" w:eastAsia="仿宋_GB2312"/>
          <w:color w:val="000000"/>
          <w:sz w:val="28"/>
          <w:szCs w:val="28"/>
        </w:rPr>
      </w:pPr>
      <w:r>
        <w:rPr>
          <w:rFonts w:hint="eastAsia" w:ascii="仿宋_GB2312" w:eastAsia="仿宋_GB2312"/>
          <w:color w:val="000000"/>
          <w:sz w:val="28"/>
          <w:szCs w:val="28"/>
        </w:rPr>
        <w:t>依据：《水利建设市场主体信用评价管理办法》水建设〔2019〕307号、《水利建设市场主体信用信息管理办法》水建设〔2019〕306号</w:t>
      </w:r>
    </w:p>
    <w:p>
      <w:pPr>
        <w:adjustRightInd w:val="0"/>
        <w:snapToGrid w:val="0"/>
        <w:spacing w:line="560" w:lineRule="exact"/>
        <w:ind w:firstLine="615"/>
        <w:rPr>
          <w:rFonts w:hint="eastAsia" w:ascii="仿宋_GB2312" w:hAnsi="宋体" w:eastAsia="仿宋_GB2312"/>
          <w:b/>
          <w:color w:val="000000"/>
          <w:sz w:val="28"/>
          <w:szCs w:val="28"/>
        </w:rPr>
      </w:pPr>
    </w:p>
    <w:p>
      <w:pPr>
        <w:adjustRightInd w:val="0"/>
        <w:snapToGrid w:val="0"/>
        <w:spacing w:line="560" w:lineRule="exact"/>
        <w:ind w:firstLine="615"/>
        <w:rPr>
          <w:rFonts w:hint="eastAsia" w:ascii="仿宋_GB2312" w:eastAsia="仿宋_GB2312"/>
          <w:b/>
          <w:color w:val="000000"/>
          <w:sz w:val="32"/>
          <w:szCs w:val="32"/>
        </w:rPr>
      </w:pPr>
      <w:r>
        <w:rPr>
          <w:rFonts w:hint="eastAsia" w:ascii="仿宋_GB2312" w:hAnsi="宋体" w:eastAsia="仿宋_GB2312"/>
          <w:b/>
          <w:color w:val="000000"/>
          <w:sz w:val="28"/>
          <w:szCs w:val="28"/>
        </w:rPr>
        <w:t>未列出的其他类别严重失信行为，由招标人（代理机构）根据各类别行业主管部门下发的联合惩戒文件进行判</w:t>
      </w:r>
      <w:r>
        <w:rPr>
          <w:rFonts w:hint="eastAsia" w:ascii="仿宋_GB2312" w:hAnsi="宋体" w:eastAsia="仿宋_GB2312"/>
          <w:b/>
          <w:color w:val="000000"/>
          <w:sz w:val="32"/>
          <w:szCs w:val="32"/>
        </w:rPr>
        <w:t>断。</w:t>
      </w:r>
    </w:p>
    <w:p>
      <w:pPr>
        <w:rPr>
          <w:color w:val="auto"/>
          <w:highlight w:val="none"/>
        </w:rPr>
      </w:pPr>
    </w:p>
    <w:sectPr>
      <w:headerReference r:id="rId7" w:type="default"/>
      <w:footerReference r:id="rId8" w:type="default"/>
      <w:pgSz w:w="11906" w:h="16838"/>
      <w:pgMar w:top="1134" w:right="1417" w:bottom="1134"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Style w:val="50"/>
      </w:rPr>
    </w:pPr>
  </w:p>
  <w:p>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Style w:val="50"/>
      </w:rPr>
    </w:pPr>
  </w:p>
  <w:p>
    <w:pPr>
      <w:pStyle w:val="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Style w:val="50"/>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1</w:t>
                    </w:r>
                    <w:r>
                      <w:fldChar w:fldCharType="end"/>
                    </w:r>
                  </w:p>
                </w:txbxContent>
              </v:textbox>
            </v:shape>
          </w:pict>
        </mc:Fallback>
      </mc:AlternateContent>
    </w:r>
  </w:p>
  <w:p>
    <w:pPr>
      <w:pStyle w:val="3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Style w:val="50"/>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1</w:t>
                    </w:r>
                    <w:r>
                      <w:fldChar w:fldCharType="end"/>
                    </w:r>
                  </w:p>
                </w:txbxContent>
              </v:textbox>
            </v:shape>
          </w:pict>
        </mc:Fallback>
      </mc:AlternateContent>
    </w:r>
  </w:p>
  <w:p>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E0B1C5"/>
    <w:multiLevelType w:val="singleLevel"/>
    <w:tmpl w:val="84E0B1C5"/>
    <w:lvl w:ilvl="0" w:tentative="0">
      <w:start w:val="1"/>
      <w:numFmt w:val="decimal"/>
      <w:suff w:val="space"/>
      <w:lvlText w:val="（%1）"/>
      <w:lvlJc w:val="left"/>
    </w:lvl>
  </w:abstractNum>
  <w:abstractNum w:abstractNumId="1">
    <w:nsid w:val="BFD0D545"/>
    <w:multiLevelType w:val="singleLevel"/>
    <w:tmpl w:val="BFD0D545"/>
    <w:lvl w:ilvl="0" w:tentative="0">
      <w:start w:val="3"/>
      <w:numFmt w:val="decimal"/>
      <w:suff w:val="nothing"/>
      <w:lvlText w:val="（%1）"/>
      <w:lvlJc w:val="left"/>
    </w:lvl>
  </w:abstractNum>
  <w:abstractNum w:abstractNumId="2">
    <w:nsid w:val="D5B19CE4"/>
    <w:multiLevelType w:val="singleLevel"/>
    <w:tmpl w:val="D5B19CE4"/>
    <w:lvl w:ilvl="0" w:tentative="0">
      <w:start w:val="1"/>
      <w:numFmt w:val="decimal"/>
      <w:suff w:val="nothing"/>
      <w:lvlText w:val="（%1）"/>
      <w:lvlJc w:val="left"/>
    </w:lvl>
  </w:abstractNum>
  <w:abstractNum w:abstractNumId="3">
    <w:nsid w:val="00000005"/>
    <w:multiLevelType w:val="multilevel"/>
    <w:tmpl w:val="00000005"/>
    <w:lvl w:ilvl="0" w:tentative="0">
      <w:start w:val="2"/>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4">
    <w:nsid w:val="152B3C79"/>
    <w:multiLevelType w:val="singleLevel"/>
    <w:tmpl w:val="152B3C79"/>
    <w:lvl w:ilvl="0" w:tentative="0">
      <w:start w:val="1"/>
      <w:numFmt w:val="decimal"/>
      <w:suff w:val="nothing"/>
      <w:lvlText w:val="（%1）"/>
      <w:lvlJc w:val="left"/>
    </w:lvl>
  </w:abstractNum>
  <w:abstractNum w:abstractNumId="5">
    <w:nsid w:val="2CFC1AFD"/>
    <w:multiLevelType w:val="singleLevel"/>
    <w:tmpl w:val="2CFC1AFD"/>
    <w:lvl w:ilvl="0" w:tentative="0">
      <w:start w:val="5"/>
      <w:numFmt w:val="chineseCounting"/>
      <w:suff w:val="space"/>
      <w:lvlText w:val="第%1章"/>
      <w:lvlJc w:val="left"/>
      <w:rPr>
        <w:rFonts w:hint="eastAsia"/>
      </w:rPr>
    </w:lvl>
  </w:abstractNum>
  <w:abstractNum w:abstractNumId="6">
    <w:nsid w:val="45A1E0C6"/>
    <w:multiLevelType w:val="singleLevel"/>
    <w:tmpl w:val="45A1E0C6"/>
    <w:lvl w:ilvl="0" w:tentative="0">
      <w:start w:val="10"/>
      <w:numFmt w:val="decimal"/>
      <w:suff w:val="nothing"/>
      <w:lvlText w:val="（%1）"/>
      <w:lvlJc w:val="left"/>
      <w:pPr>
        <w:tabs>
          <w:tab w:val="left" w:pos="0"/>
        </w:tabs>
        <w:ind w:left="0" w:firstLine="0"/>
      </w:pPr>
    </w:lvl>
  </w:abstractNum>
  <w:num w:numId="1">
    <w:abstractNumId w:val="1"/>
  </w:num>
  <w:num w:numId="2">
    <w:abstractNumId w:val="2"/>
  </w:num>
  <w:num w:numId="3">
    <w:abstractNumId w:val="6"/>
  </w:num>
  <w:num w:numId="4">
    <w:abstractNumId w:val="0"/>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1MGI2NWIzOGNkOWNmNzBiZjU5OTkyZjljYWYzZDQifQ=="/>
  </w:docVars>
  <w:rsids>
    <w:rsidRoot w:val="00172A27"/>
    <w:rsid w:val="0000197A"/>
    <w:rsid w:val="00002E1B"/>
    <w:rsid w:val="000046EA"/>
    <w:rsid w:val="00004E34"/>
    <w:rsid w:val="00005CD8"/>
    <w:rsid w:val="00006123"/>
    <w:rsid w:val="000070B7"/>
    <w:rsid w:val="0000758B"/>
    <w:rsid w:val="00010F4B"/>
    <w:rsid w:val="0001111D"/>
    <w:rsid w:val="00011A14"/>
    <w:rsid w:val="00012844"/>
    <w:rsid w:val="00012D1D"/>
    <w:rsid w:val="00017114"/>
    <w:rsid w:val="00017EFA"/>
    <w:rsid w:val="00020FE0"/>
    <w:rsid w:val="00021BDB"/>
    <w:rsid w:val="000225E0"/>
    <w:rsid w:val="00022A89"/>
    <w:rsid w:val="00023D05"/>
    <w:rsid w:val="00026E12"/>
    <w:rsid w:val="000273CC"/>
    <w:rsid w:val="000330C1"/>
    <w:rsid w:val="000335C0"/>
    <w:rsid w:val="00034C73"/>
    <w:rsid w:val="0003719A"/>
    <w:rsid w:val="00037B93"/>
    <w:rsid w:val="00040224"/>
    <w:rsid w:val="0004332D"/>
    <w:rsid w:val="00044907"/>
    <w:rsid w:val="0004695D"/>
    <w:rsid w:val="00046C34"/>
    <w:rsid w:val="00057DBF"/>
    <w:rsid w:val="000617FE"/>
    <w:rsid w:val="0006411D"/>
    <w:rsid w:val="000642AF"/>
    <w:rsid w:val="00066792"/>
    <w:rsid w:val="00072090"/>
    <w:rsid w:val="00076B75"/>
    <w:rsid w:val="00076F1D"/>
    <w:rsid w:val="00077234"/>
    <w:rsid w:val="000837EF"/>
    <w:rsid w:val="00083ADA"/>
    <w:rsid w:val="0008659F"/>
    <w:rsid w:val="00086C18"/>
    <w:rsid w:val="00090A07"/>
    <w:rsid w:val="00090F90"/>
    <w:rsid w:val="00093100"/>
    <w:rsid w:val="000939B1"/>
    <w:rsid w:val="00094E9D"/>
    <w:rsid w:val="000A078C"/>
    <w:rsid w:val="000A11AD"/>
    <w:rsid w:val="000A2C9F"/>
    <w:rsid w:val="000A475B"/>
    <w:rsid w:val="000A65EE"/>
    <w:rsid w:val="000B0DC9"/>
    <w:rsid w:val="000B3A75"/>
    <w:rsid w:val="000B4B76"/>
    <w:rsid w:val="000B547D"/>
    <w:rsid w:val="000B7A7E"/>
    <w:rsid w:val="000B7EE6"/>
    <w:rsid w:val="000C10AA"/>
    <w:rsid w:val="000C26FD"/>
    <w:rsid w:val="000D08DE"/>
    <w:rsid w:val="000D203E"/>
    <w:rsid w:val="000D2C3D"/>
    <w:rsid w:val="000D2ECE"/>
    <w:rsid w:val="000D4E9E"/>
    <w:rsid w:val="000D7F9C"/>
    <w:rsid w:val="000E0020"/>
    <w:rsid w:val="000E1F7F"/>
    <w:rsid w:val="000E227E"/>
    <w:rsid w:val="000E24EC"/>
    <w:rsid w:val="000E3D3D"/>
    <w:rsid w:val="000F7312"/>
    <w:rsid w:val="000F740E"/>
    <w:rsid w:val="00104E44"/>
    <w:rsid w:val="001063CB"/>
    <w:rsid w:val="0011140E"/>
    <w:rsid w:val="00114707"/>
    <w:rsid w:val="00115943"/>
    <w:rsid w:val="00116988"/>
    <w:rsid w:val="00120E5D"/>
    <w:rsid w:val="00125553"/>
    <w:rsid w:val="0012738D"/>
    <w:rsid w:val="00130FBA"/>
    <w:rsid w:val="00131494"/>
    <w:rsid w:val="00132E3D"/>
    <w:rsid w:val="0014049F"/>
    <w:rsid w:val="00140BFD"/>
    <w:rsid w:val="00142868"/>
    <w:rsid w:val="00146B5E"/>
    <w:rsid w:val="0015292B"/>
    <w:rsid w:val="0015363F"/>
    <w:rsid w:val="00154C59"/>
    <w:rsid w:val="00155F6F"/>
    <w:rsid w:val="001564C3"/>
    <w:rsid w:val="001620D9"/>
    <w:rsid w:val="0016514F"/>
    <w:rsid w:val="00165414"/>
    <w:rsid w:val="00165F97"/>
    <w:rsid w:val="00167090"/>
    <w:rsid w:val="00167507"/>
    <w:rsid w:val="00172A27"/>
    <w:rsid w:val="00173108"/>
    <w:rsid w:val="00173D37"/>
    <w:rsid w:val="00174E43"/>
    <w:rsid w:val="001766ED"/>
    <w:rsid w:val="0018238C"/>
    <w:rsid w:val="00182D4C"/>
    <w:rsid w:val="001834BA"/>
    <w:rsid w:val="001843D3"/>
    <w:rsid w:val="00184866"/>
    <w:rsid w:val="00185DBC"/>
    <w:rsid w:val="001867E2"/>
    <w:rsid w:val="001919D1"/>
    <w:rsid w:val="00191DD8"/>
    <w:rsid w:val="00193AE6"/>
    <w:rsid w:val="00194AEF"/>
    <w:rsid w:val="001963BD"/>
    <w:rsid w:val="001A120B"/>
    <w:rsid w:val="001A184C"/>
    <w:rsid w:val="001A274E"/>
    <w:rsid w:val="001A2C88"/>
    <w:rsid w:val="001A37E0"/>
    <w:rsid w:val="001A3EC9"/>
    <w:rsid w:val="001A50F2"/>
    <w:rsid w:val="001A6EF7"/>
    <w:rsid w:val="001B1DF0"/>
    <w:rsid w:val="001B21A5"/>
    <w:rsid w:val="001B45D5"/>
    <w:rsid w:val="001B4675"/>
    <w:rsid w:val="001B4BDE"/>
    <w:rsid w:val="001B59E9"/>
    <w:rsid w:val="001B62B0"/>
    <w:rsid w:val="001B6A78"/>
    <w:rsid w:val="001C1FC2"/>
    <w:rsid w:val="001C4E01"/>
    <w:rsid w:val="001C7AB4"/>
    <w:rsid w:val="001D0C94"/>
    <w:rsid w:val="001D3498"/>
    <w:rsid w:val="001E1380"/>
    <w:rsid w:val="001E5247"/>
    <w:rsid w:val="001F23AB"/>
    <w:rsid w:val="001F32ED"/>
    <w:rsid w:val="001F4F95"/>
    <w:rsid w:val="001F7E70"/>
    <w:rsid w:val="00200459"/>
    <w:rsid w:val="00202DB7"/>
    <w:rsid w:val="00207065"/>
    <w:rsid w:val="00207999"/>
    <w:rsid w:val="00212D04"/>
    <w:rsid w:val="00213FCA"/>
    <w:rsid w:val="00214988"/>
    <w:rsid w:val="00214B43"/>
    <w:rsid w:val="00214F76"/>
    <w:rsid w:val="002202CE"/>
    <w:rsid w:val="0022219A"/>
    <w:rsid w:val="00222521"/>
    <w:rsid w:val="00227461"/>
    <w:rsid w:val="0022783F"/>
    <w:rsid w:val="00230392"/>
    <w:rsid w:val="00230583"/>
    <w:rsid w:val="00230A2B"/>
    <w:rsid w:val="00231547"/>
    <w:rsid w:val="002334EC"/>
    <w:rsid w:val="00235B32"/>
    <w:rsid w:val="00236AD7"/>
    <w:rsid w:val="00237688"/>
    <w:rsid w:val="00240423"/>
    <w:rsid w:val="00243B18"/>
    <w:rsid w:val="00246AD7"/>
    <w:rsid w:val="00246B91"/>
    <w:rsid w:val="00247A64"/>
    <w:rsid w:val="00250013"/>
    <w:rsid w:val="00250BCF"/>
    <w:rsid w:val="00253591"/>
    <w:rsid w:val="00255670"/>
    <w:rsid w:val="00256780"/>
    <w:rsid w:val="00262ABE"/>
    <w:rsid w:val="002657EE"/>
    <w:rsid w:val="00276F57"/>
    <w:rsid w:val="00277D06"/>
    <w:rsid w:val="002816D4"/>
    <w:rsid w:val="00286980"/>
    <w:rsid w:val="002928CE"/>
    <w:rsid w:val="00292C87"/>
    <w:rsid w:val="0029757E"/>
    <w:rsid w:val="002A1A66"/>
    <w:rsid w:val="002A39EF"/>
    <w:rsid w:val="002A599F"/>
    <w:rsid w:val="002A6E04"/>
    <w:rsid w:val="002B4BA8"/>
    <w:rsid w:val="002B7071"/>
    <w:rsid w:val="002B7117"/>
    <w:rsid w:val="002B714A"/>
    <w:rsid w:val="002B718A"/>
    <w:rsid w:val="002B7621"/>
    <w:rsid w:val="002C2E22"/>
    <w:rsid w:val="002C4A57"/>
    <w:rsid w:val="002C528E"/>
    <w:rsid w:val="002C5643"/>
    <w:rsid w:val="002E13EC"/>
    <w:rsid w:val="002E41CC"/>
    <w:rsid w:val="002F05E9"/>
    <w:rsid w:val="002F2C99"/>
    <w:rsid w:val="002F3D6A"/>
    <w:rsid w:val="002F794D"/>
    <w:rsid w:val="003029B3"/>
    <w:rsid w:val="00303019"/>
    <w:rsid w:val="00306787"/>
    <w:rsid w:val="00306966"/>
    <w:rsid w:val="0031113D"/>
    <w:rsid w:val="00311AAC"/>
    <w:rsid w:val="00313CA4"/>
    <w:rsid w:val="00314E82"/>
    <w:rsid w:val="003150CE"/>
    <w:rsid w:val="00315FF9"/>
    <w:rsid w:val="00316270"/>
    <w:rsid w:val="00321598"/>
    <w:rsid w:val="00321FDB"/>
    <w:rsid w:val="00323870"/>
    <w:rsid w:val="00323FFD"/>
    <w:rsid w:val="00324847"/>
    <w:rsid w:val="00324A5E"/>
    <w:rsid w:val="00325624"/>
    <w:rsid w:val="0032611D"/>
    <w:rsid w:val="003264EB"/>
    <w:rsid w:val="00326940"/>
    <w:rsid w:val="00330CCD"/>
    <w:rsid w:val="00332891"/>
    <w:rsid w:val="00332BBD"/>
    <w:rsid w:val="00333810"/>
    <w:rsid w:val="003343C0"/>
    <w:rsid w:val="00340804"/>
    <w:rsid w:val="00342D97"/>
    <w:rsid w:val="00343375"/>
    <w:rsid w:val="003448C2"/>
    <w:rsid w:val="00344CD6"/>
    <w:rsid w:val="0034662F"/>
    <w:rsid w:val="003510D2"/>
    <w:rsid w:val="00351A8E"/>
    <w:rsid w:val="0035447B"/>
    <w:rsid w:val="00356B27"/>
    <w:rsid w:val="00356B90"/>
    <w:rsid w:val="00357C8A"/>
    <w:rsid w:val="00360C29"/>
    <w:rsid w:val="0036101B"/>
    <w:rsid w:val="003613C6"/>
    <w:rsid w:val="00361CBA"/>
    <w:rsid w:val="00362EE3"/>
    <w:rsid w:val="0036593D"/>
    <w:rsid w:val="00366951"/>
    <w:rsid w:val="00370107"/>
    <w:rsid w:val="003720A1"/>
    <w:rsid w:val="003745F9"/>
    <w:rsid w:val="00376808"/>
    <w:rsid w:val="0037767C"/>
    <w:rsid w:val="003817E6"/>
    <w:rsid w:val="00381E22"/>
    <w:rsid w:val="0038244A"/>
    <w:rsid w:val="00382545"/>
    <w:rsid w:val="00383221"/>
    <w:rsid w:val="00384090"/>
    <w:rsid w:val="003844ED"/>
    <w:rsid w:val="00386132"/>
    <w:rsid w:val="003871B4"/>
    <w:rsid w:val="00393016"/>
    <w:rsid w:val="00394BA5"/>
    <w:rsid w:val="00394D82"/>
    <w:rsid w:val="003A70F7"/>
    <w:rsid w:val="003B39C6"/>
    <w:rsid w:val="003B4CDE"/>
    <w:rsid w:val="003B5919"/>
    <w:rsid w:val="003B7075"/>
    <w:rsid w:val="003B7983"/>
    <w:rsid w:val="003C24F4"/>
    <w:rsid w:val="003C4452"/>
    <w:rsid w:val="003C4CBD"/>
    <w:rsid w:val="003C7646"/>
    <w:rsid w:val="003D0BFC"/>
    <w:rsid w:val="003D206A"/>
    <w:rsid w:val="003D27B4"/>
    <w:rsid w:val="003D34ED"/>
    <w:rsid w:val="003D60ED"/>
    <w:rsid w:val="003D7852"/>
    <w:rsid w:val="003E0F27"/>
    <w:rsid w:val="003E15AB"/>
    <w:rsid w:val="003E3274"/>
    <w:rsid w:val="003E441B"/>
    <w:rsid w:val="003E528B"/>
    <w:rsid w:val="003E62C9"/>
    <w:rsid w:val="003E64A4"/>
    <w:rsid w:val="003F1184"/>
    <w:rsid w:val="003F19CD"/>
    <w:rsid w:val="003F3394"/>
    <w:rsid w:val="003F34D1"/>
    <w:rsid w:val="003F5214"/>
    <w:rsid w:val="003F56BE"/>
    <w:rsid w:val="003F72A7"/>
    <w:rsid w:val="00403578"/>
    <w:rsid w:val="0040419B"/>
    <w:rsid w:val="00404AFD"/>
    <w:rsid w:val="0041061A"/>
    <w:rsid w:val="00411B9C"/>
    <w:rsid w:val="004139CC"/>
    <w:rsid w:val="00416BD0"/>
    <w:rsid w:val="004179E4"/>
    <w:rsid w:val="00422908"/>
    <w:rsid w:val="0042416B"/>
    <w:rsid w:val="004249BA"/>
    <w:rsid w:val="0042531B"/>
    <w:rsid w:val="004306D8"/>
    <w:rsid w:val="00430F18"/>
    <w:rsid w:val="00432BC1"/>
    <w:rsid w:val="00433924"/>
    <w:rsid w:val="00434AAC"/>
    <w:rsid w:val="0043512B"/>
    <w:rsid w:val="00435537"/>
    <w:rsid w:val="004355FE"/>
    <w:rsid w:val="00441E58"/>
    <w:rsid w:val="00445715"/>
    <w:rsid w:val="00445E0F"/>
    <w:rsid w:val="00446179"/>
    <w:rsid w:val="004506F7"/>
    <w:rsid w:val="0045199B"/>
    <w:rsid w:val="00451F70"/>
    <w:rsid w:val="00454C0F"/>
    <w:rsid w:val="00454F95"/>
    <w:rsid w:val="004571AF"/>
    <w:rsid w:val="00462043"/>
    <w:rsid w:val="0046380E"/>
    <w:rsid w:val="00466093"/>
    <w:rsid w:val="004712B0"/>
    <w:rsid w:val="00471B5C"/>
    <w:rsid w:val="00473006"/>
    <w:rsid w:val="00473509"/>
    <w:rsid w:val="00473BA0"/>
    <w:rsid w:val="00474B17"/>
    <w:rsid w:val="0047678B"/>
    <w:rsid w:val="00477FF4"/>
    <w:rsid w:val="00482303"/>
    <w:rsid w:val="00487C57"/>
    <w:rsid w:val="00494CD7"/>
    <w:rsid w:val="004A3117"/>
    <w:rsid w:val="004A394F"/>
    <w:rsid w:val="004A7299"/>
    <w:rsid w:val="004B15C6"/>
    <w:rsid w:val="004C0130"/>
    <w:rsid w:val="004C1E7E"/>
    <w:rsid w:val="004C2BF2"/>
    <w:rsid w:val="004C4C36"/>
    <w:rsid w:val="004C791A"/>
    <w:rsid w:val="004D0871"/>
    <w:rsid w:val="004D31D7"/>
    <w:rsid w:val="004D6B92"/>
    <w:rsid w:val="004E085C"/>
    <w:rsid w:val="004E0F8D"/>
    <w:rsid w:val="004F0E30"/>
    <w:rsid w:val="004F1D3D"/>
    <w:rsid w:val="004F3C9D"/>
    <w:rsid w:val="004F5CF2"/>
    <w:rsid w:val="004F77A5"/>
    <w:rsid w:val="00504F99"/>
    <w:rsid w:val="00505F69"/>
    <w:rsid w:val="005078D7"/>
    <w:rsid w:val="00510F89"/>
    <w:rsid w:val="00512B81"/>
    <w:rsid w:val="00513D1E"/>
    <w:rsid w:val="0052022B"/>
    <w:rsid w:val="005212B3"/>
    <w:rsid w:val="00525D5C"/>
    <w:rsid w:val="00526B90"/>
    <w:rsid w:val="00527D18"/>
    <w:rsid w:val="005324F1"/>
    <w:rsid w:val="005345CF"/>
    <w:rsid w:val="00534798"/>
    <w:rsid w:val="00534AB4"/>
    <w:rsid w:val="005362C3"/>
    <w:rsid w:val="00536BAD"/>
    <w:rsid w:val="00537141"/>
    <w:rsid w:val="005408F8"/>
    <w:rsid w:val="00543A1A"/>
    <w:rsid w:val="00543D1A"/>
    <w:rsid w:val="00545A63"/>
    <w:rsid w:val="00550A8B"/>
    <w:rsid w:val="00551ABE"/>
    <w:rsid w:val="00551F3F"/>
    <w:rsid w:val="00553C28"/>
    <w:rsid w:val="00555711"/>
    <w:rsid w:val="0055655B"/>
    <w:rsid w:val="005575EF"/>
    <w:rsid w:val="00557CAA"/>
    <w:rsid w:val="005610A7"/>
    <w:rsid w:val="00562097"/>
    <w:rsid w:val="00562642"/>
    <w:rsid w:val="00562653"/>
    <w:rsid w:val="00563B31"/>
    <w:rsid w:val="00564616"/>
    <w:rsid w:val="00565E25"/>
    <w:rsid w:val="00566512"/>
    <w:rsid w:val="005677A2"/>
    <w:rsid w:val="00571668"/>
    <w:rsid w:val="00573193"/>
    <w:rsid w:val="005736B2"/>
    <w:rsid w:val="0057643A"/>
    <w:rsid w:val="00580342"/>
    <w:rsid w:val="00582213"/>
    <w:rsid w:val="005901E1"/>
    <w:rsid w:val="005915F5"/>
    <w:rsid w:val="00591F58"/>
    <w:rsid w:val="00592834"/>
    <w:rsid w:val="00594FBF"/>
    <w:rsid w:val="0059693D"/>
    <w:rsid w:val="00597823"/>
    <w:rsid w:val="005A3405"/>
    <w:rsid w:val="005A5E6E"/>
    <w:rsid w:val="005A65D3"/>
    <w:rsid w:val="005A71BD"/>
    <w:rsid w:val="005A7C75"/>
    <w:rsid w:val="005B3CFB"/>
    <w:rsid w:val="005B4AA4"/>
    <w:rsid w:val="005B5C42"/>
    <w:rsid w:val="005B682A"/>
    <w:rsid w:val="005B705D"/>
    <w:rsid w:val="005C0054"/>
    <w:rsid w:val="005D0BCF"/>
    <w:rsid w:val="005D1D33"/>
    <w:rsid w:val="005D1E1A"/>
    <w:rsid w:val="005D2808"/>
    <w:rsid w:val="005D49DC"/>
    <w:rsid w:val="005D6EDB"/>
    <w:rsid w:val="005E4BD5"/>
    <w:rsid w:val="005E6D8D"/>
    <w:rsid w:val="005E7874"/>
    <w:rsid w:val="005F2C58"/>
    <w:rsid w:val="005F3CD8"/>
    <w:rsid w:val="005F6D4E"/>
    <w:rsid w:val="00601231"/>
    <w:rsid w:val="006015AA"/>
    <w:rsid w:val="006053A4"/>
    <w:rsid w:val="00610D91"/>
    <w:rsid w:val="0061143B"/>
    <w:rsid w:val="006173D9"/>
    <w:rsid w:val="006174D0"/>
    <w:rsid w:val="00617B19"/>
    <w:rsid w:val="00620E0C"/>
    <w:rsid w:val="0062507F"/>
    <w:rsid w:val="00626412"/>
    <w:rsid w:val="00627097"/>
    <w:rsid w:val="00627F07"/>
    <w:rsid w:val="00630701"/>
    <w:rsid w:val="00630A52"/>
    <w:rsid w:val="006314EC"/>
    <w:rsid w:val="006317D9"/>
    <w:rsid w:val="006319A4"/>
    <w:rsid w:val="006320EC"/>
    <w:rsid w:val="00632505"/>
    <w:rsid w:val="0063261C"/>
    <w:rsid w:val="00634E49"/>
    <w:rsid w:val="006404B8"/>
    <w:rsid w:val="00640732"/>
    <w:rsid w:val="00640CD1"/>
    <w:rsid w:val="006411FA"/>
    <w:rsid w:val="006468C4"/>
    <w:rsid w:val="00656322"/>
    <w:rsid w:val="0065656C"/>
    <w:rsid w:val="00662C9C"/>
    <w:rsid w:val="00664CCB"/>
    <w:rsid w:val="0066501C"/>
    <w:rsid w:val="00667847"/>
    <w:rsid w:val="00667E21"/>
    <w:rsid w:val="00672253"/>
    <w:rsid w:val="00672477"/>
    <w:rsid w:val="006803F2"/>
    <w:rsid w:val="00680EED"/>
    <w:rsid w:val="00683A32"/>
    <w:rsid w:val="00686C3A"/>
    <w:rsid w:val="0069751D"/>
    <w:rsid w:val="00697E3A"/>
    <w:rsid w:val="006A5A61"/>
    <w:rsid w:val="006A6C9D"/>
    <w:rsid w:val="006B06AF"/>
    <w:rsid w:val="006B3780"/>
    <w:rsid w:val="006B3913"/>
    <w:rsid w:val="006B5F0A"/>
    <w:rsid w:val="006B7B67"/>
    <w:rsid w:val="006C004B"/>
    <w:rsid w:val="006C09E3"/>
    <w:rsid w:val="006C12A2"/>
    <w:rsid w:val="006C1EAD"/>
    <w:rsid w:val="006C3056"/>
    <w:rsid w:val="006C3E9D"/>
    <w:rsid w:val="006C4608"/>
    <w:rsid w:val="006E29E7"/>
    <w:rsid w:val="006E3C5D"/>
    <w:rsid w:val="006E4C81"/>
    <w:rsid w:val="006F3D17"/>
    <w:rsid w:val="007010A6"/>
    <w:rsid w:val="007010E6"/>
    <w:rsid w:val="007013D6"/>
    <w:rsid w:val="00704877"/>
    <w:rsid w:val="007056DC"/>
    <w:rsid w:val="00707B0D"/>
    <w:rsid w:val="00707F33"/>
    <w:rsid w:val="00707FB8"/>
    <w:rsid w:val="00710E91"/>
    <w:rsid w:val="00712094"/>
    <w:rsid w:val="00712899"/>
    <w:rsid w:val="00716F04"/>
    <w:rsid w:val="007220FC"/>
    <w:rsid w:val="007224C8"/>
    <w:rsid w:val="00731F87"/>
    <w:rsid w:val="00734057"/>
    <w:rsid w:val="007347A9"/>
    <w:rsid w:val="00734A59"/>
    <w:rsid w:val="00737389"/>
    <w:rsid w:val="00740EA7"/>
    <w:rsid w:val="00741E7A"/>
    <w:rsid w:val="00743A79"/>
    <w:rsid w:val="00746374"/>
    <w:rsid w:val="0074694C"/>
    <w:rsid w:val="00750DC6"/>
    <w:rsid w:val="00751F36"/>
    <w:rsid w:val="00752ABA"/>
    <w:rsid w:val="007544B3"/>
    <w:rsid w:val="00754953"/>
    <w:rsid w:val="00755F4B"/>
    <w:rsid w:val="007569BF"/>
    <w:rsid w:val="00764F21"/>
    <w:rsid w:val="007650EA"/>
    <w:rsid w:val="00771225"/>
    <w:rsid w:val="007716E8"/>
    <w:rsid w:val="00771EE2"/>
    <w:rsid w:val="00772F61"/>
    <w:rsid w:val="007735D0"/>
    <w:rsid w:val="00776CE6"/>
    <w:rsid w:val="0077709D"/>
    <w:rsid w:val="0077725B"/>
    <w:rsid w:val="0078232E"/>
    <w:rsid w:val="007825BB"/>
    <w:rsid w:val="0078387C"/>
    <w:rsid w:val="007846BD"/>
    <w:rsid w:val="007852C4"/>
    <w:rsid w:val="00785C7C"/>
    <w:rsid w:val="00791072"/>
    <w:rsid w:val="00791620"/>
    <w:rsid w:val="00792C93"/>
    <w:rsid w:val="0079603B"/>
    <w:rsid w:val="00796119"/>
    <w:rsid w:val="00797F29"/>
    <w:rsid w:val="00797F99"/>
    <w:rsid w:val="007A3AD3"/>
    <w:rsid w:val="007A5486"/>
    <w:rsid w:val="007A59DE"/>
    <w:rsid w:val="007B10BC"/>
    <w:rsid w:val="007B2FBF"/>
    <w:rsid w:val="007B6549"/>
    <w:rsid w:val="007B7D18"/>
    <w:rsid w:val="007C065A"/>
    <w:rsid w:val="007C313C"/>
    <w:rsid w:val="007C5C10"/>
    <w:rsid w:val="007C5C4D"/>
    <w:rsid w:val="007D2547"/>
    <w:rsid w:val="007D3552"/>
    <w:rsid w:val="007D5303"/>
    <w:rsid w:val="007D6C61"/>
    <w:rsid w:val="007D7027"/>
    <w:rsid w:val="007E1D6E"/>
    <w:rsid w:val="007E60BB"/>
    <w:rsid w:val="007E66F0"/>
    <w:rsid w:val="007E6E71"/>
    <w:rsid w:val="007F0879"/>
    <w:rsid w:val="007F2072"/>
    <w:rsid w:val="007F7CC1"/>
    <w:rsid w:val="00801530"/>
    <w:rsid w:val="00803277"/>
    <w:rsid w:val="00803BC6"/>
    <w:rsid w:val="008044D7"/>
    <w:rsid w:val="00811BC8"/>
    <w:rsid w:val="00812181"/>
    <w:rsid w:val="0081385B"/>
    <w:rsid w:val="00816600"/>
    <w:rsid w:val="00821645"/>
    <w:rsid w:val="00822D2E"/>
    <w:rsid w:val="00827EA0"/>
    <w:rsid w:val="0083345E"/>
    <w:rsid w:val="00834EAE"/>
    <w:rsid w:val="00841403"/>
    <w:rsid w:val="0084190B"/>
    <w:rsid w:val="0084411B"/>
    <w:rsid w:val="00844951"/>
    <w:rsid w:val="00844D6E"/>
    <w:rsid w:val="00845A5D"/>
    <w:rsid w:val="008462FB"/>
    <w:rsid w:val="008465CD"/>
    <w:rsid w:val="0084663D"/>
    <w:rsid w:val="008515C0"/>
    <w:rsid w:val="00854873"/>
    <w:rsid w:val="00855E83"/>
    <w:rsid w:val="00856515"/>
    <w:rsid w:val="0086292A"/>
    <w:rsid w:val="00864FC6"/>
    <w:rsid w:val="00865B48"/>
    <w:rsid w:val="00872E7D"/>
    <w:rsid w:val="00874549"/>
    <w:rsid w:val="008756B7"/>
    <w:rsid w:val="008757B7"/>
    <w:rsid w:val="00880472"/>
    <w:rsid w:val="008813F9"/>
    <w:rsid w:val="0088144C"/>
    <w:rsid w:val="00881587"/>
    <w:rsid w:val="0088218C"/>
    <w:rsid w:val="00884060"/>
    <w:rsid w:val="00890796"/>
    <w:rsid w:val="0089321E"/>
    <w:rsid w:val="008933DF"/>
    <w:rsid w:val="00894C08"/>
    <w:rsid w:val="00895001"/>
    <w:rsid w:val="0089560E"/>
    <w:rsid w:val="008A0CBD"/>
    <w:rsid w:val="008A0D2A"/>
    <w:rsid w:val="008A1DEE"/>
    <w:rsid w:val="008A3970"/>
    <w:rsid w:val="008A5701"/>
    <w:rsid w:val="008B3DFF"/>
    <w:rsid w:val="008B3F28"/>
    <w:rsid w:val="008C49D3"/>
    <w:rsid w:val="008C5947"/>
    <w:rsid w:val="008C6DA1"/>
    <w:rsid w:val="008C72A6"/>
    <w:rsid w:val="008D3D94"/>
    <w:rsid w:val="008D618A"/>
    <w:rsid w:val="008E1DC0"/>
    <w:rsid w:val="008E30BF"/>
    <w:rsid w:val="008E35A0"/>
    <w:rsid w:val="008E3A25"/>
    <w:rsid w:val="008E5038"/>
    <w:rsid w:val="008F031C"/>
    <w:rsid w:val="008F1463"/>
    <w:rsid w:val="008F1F11"/>
    <w:rsid w:val="008F31C7"/>
    <w:rsid w:val="008F7358"/>
    <w:rsid w:val="008F7394"/>
    <w:rsid w:val="008F79D7"/>
    <w:rsid w:val="009006DF"/>
    <w:rsid w:val="00910153"/>
    <w:rsid w:val="00910A19"/>
    <w:rsid w:val="00910BDC"/>
    <w:rsid w:val="00910F4E"/>
    <w:rsid w:val="00911695"/>
    <w:rsid w:val="00911E55"/>
    <w:rsid w:val="00913F05"/>
    <w:rsid w:val="0091562C"/>
    <w:rsid w:val="009177B6"/>
    <w:rsid w:val="00917A27"/>
    <w:rsid w:val="00923CD3"/>
    <w:rsid w:val="00924202"/>
    <w:rsid w:val="00924E50"/>
    <w:rsid w:val="00925CC6"/>
    <w:rsid w:val="00926ABF"/>
    <w:rsid w:val="00927A26"/>
    <w:rsid w:val="00927D00"/>
    <w:rsid w:val="00930969"/>
    <w:rsid w:val="0093269F"/>
    <w:rsid w:val="00936433"/>
    <w:rsid w:val="009412CD"/>
    <w:rsid w:val="0095349A"/>
    <w:rsid w:val="00955204"/>
    <w:rsid w:val="00960CAB"/>
    <w:rsid w:val="00960CCB"/>
    <w:rsid w:val="00961359"/>
    <w:rsid w:val="00962A0B"/>
    <w:rsid w:val="00962C4D"/>
    <w:rsid w:val="00964D34"/>
    <w:rsid w:val="00966F72"/>
    <w:rsid w:val="0096757C"/>
    <w:rsid w:val="00967A23"/>
    <w:rsid w:val="00972946"/>
    <w:rsid w:val="00972E84"/>
    <w:rsid w:val="00974691"/>
    <w:rsid w:val="00976022"/>
    <w:rsid w:val="00976169"/>
    <w:rsid w:val="00976580"/>
    <w:rsid w:val="00977C3F"/>
    <w:rsid w:val="00977CC3"/>
    <w:rsid w:val="00980102"/>
    <w:rsid w:val="0098316D"/>
    <w:rsid w:val="00984D59"/>
    <w:rsid w:val="0098502F"/>
    <w:rsid w:val="00986D16"/>
    <w:rsid w:val="009910B5"/>
    <w:rsid w:val="009920AD"/>
    <w:rsid w:val="0099244A"/>
    <w:rsid w:val="009938B8"/>
    <w:rsid w:val="00994EB2"/>
    <w:rsid w:val="00995053"/>
    <w:rsid w:val="009A0735"/>
    <w:rsid w:val="009A25E2"/>
    <w:rsid w:val="009A37CD"/>
    <w:rsid w:val="009A4C36"/>
    <w:rsid w:val="009B1FF8"/>
    <w:rsid w:val="009B42EF"/>
    <w:rsid w:val="009B4E7E"/>
    <w:rsid w:val="009B5EED"/>
    <w:rsid w:val="009C20D3"/>
    <w:rsid w:val="009C37BF"/>
    <w:rsid w:val="009C6EE6"/>
    <w:rsid w:val="009C7333"/>
    <w:rsid w:val="009C7979"/>
    <w:rsid w:val="009D0966"/>
    <w:rsid w:val="009D0B0C"/>
    <w:rsid w:val="009D22E5"/>
    <w:rsid w:val="009D4B7E"/>
    <w:rsid w:val="009D5E13"/>
    <w:rsid w:val="009D71F1"/>
    <w:rsid w:val="009E015C"/>
    <w:rsid w:val="009E0909"/>
    <w:rsid w:val="009E37B1"/>
    <w:rsid w:val="009E3E05"/>
    <w:rsid w:val="009E5780"/>
    <w:rsid w:val="009E5D72"/>
    <w:rsid w:val="009E6EC4"/>
    <w:rsid w:val="009F01E1"/>
    <w:rsid w:val="009F2F5E"/>
    <w:rsid w:val="009F3B2F"/>
    <w:rsid w:val="009F42ED"/>
    <w:rsid w:val="009F60D9"/>
    <w:rsid w:val="00A01456"/>
    <w:rsid w:val="00A01B5E"/>
    <w:rsid w:val="00A02A20"/>
    <w:rsid w:val="00A03301"/>
    <w:rsid w:val="00A05E3C"/>
    <w:rsid w:val="00A0769D"/>
    <w:rsid w:val="00A07925"/>
    <w:rsid w:val="00A101E8"/>
    <w:rsid w:val="00A10455"/>
    <w:rsid w:val="00A1132C"/>
    <w:rsid w:val="00A1168E"/>
    <w:rsid w:val="00A11DCF"/>
    <w:rsid w:val="00A11EE6"/>
    <w:rsid w:val="00A1213C"/>
    <w:rsid w:val="00A14C01"/>
    <w:rsid w:val="00A1556E"/>
    <w:rsid w:val="00A169DC"/>
    <w:rsid w:val="00A20C10"/>
    <w:rsid w:val="00A22308"/>
    <w:rsid w:val="00A22EC9"/>
    <w:rsid w:val="00A25ED3"/>
    <w:rsid w:val="00A264B5"/>
    <w:rsid w:val="00A26E1A"/>
    <w:rsid w:val="00A27D67"/>
    <w:rsid w:val="00A317E0"/>
    <w:rsid w:val="00A37208"/>
    <w:rsid w:val="00A373FE"/>
    <w:rsid w:val="00A37744"/>
    <w:rsid w:val="00A4126B"/>
    <w:rsid w:val="00A431C8"/>
    <w:rsid w:val="00A47E8E"/>
    <w:rsid w:val="00A50183"/>
    <w:rsid w:val="00A50E52"/>
    <w:rsid w:val="00A512D9"/>
    <w:rsid w:val="00A52488"/>
    <w:rsid w:val="00A52EF8"/>
    <w:rsid w:val="00A52F87"/>
    <w:rsid w:val="00A550F0"/>
    <w:rsid w:val="00A55F4D"/>
    <w:rsid w:val="00A56DFC"/>
    <w:rsid w:val="00A607D6"/>
    <w:rsid w:val="00A65ACF"/>
    <w:rsid w:val="00A71725"/>
    <w:rsid w:val="00A730D4"/>
    <w:rsid w:val="00A75160"/>
    <w:rsid w:val="00A80107"/>
    <w:rsid w:val="00A80270"/>
    <w:rsid w:val="00A81E1C"/>
    <w:rsid w:val="00A82C07"/>
    <w:rsid w:val="00A8654F"/>
    <w:rsid w:val="00A921C2"/>
    <w:rsid w:val="00A93040"/>
    <w:rsid w:val="00A9331E"/>
    <w:rsid w:val="00A96C90"/>
    <w:rsid w:val="00AA1C5D"/>
    <w:rsid w:val="00AA207A"/>
    <w:rsid w:val="00AA672A"/>
    <w:rsid w:val="00AA7717"/>
    <w:rsid w:val="00AA7A7D"/>
    <w:rsid w:val="00AA7BA4"/>
    <w:rsid w:val="00AB24DF"/>
    <w:rsid w:val="00AB2639"/>
    <w:rsid w:val="00AB41F5"/>
    <w:rsid w:val="00AB534D"/>
    <w:rsid w:val="00AB6C48"/>
    <w:rsid w:val="00AB7F2E"/>
    <w:rsid w:val="00AC00B4"/>
    <w:rsid w:val="00AC26EA"/>
    <w:rsid w:val="00AC2702"/>
    <w:rsid w:val="00AC5E52"/>
    <w:rsid w:val="00AC75F2"/>
    <w:rsid w:val="00AD0D0C"/>
    <w:rsid w:val="00AD28A1"/>
    <w:rsid w:val="00AD39D3"/>
    <w:rsid w:val="00AD6CA7"/>
    <w:rsid w:val="00AF04EA"/>
    <w:rsid w:val="00AF1B9D"/>
    <w:rsid w:val="00AF2D9F"/>
    <w:rsid w:val="00AF4146"/>
    <w:rsid w:val="00B01E1E"/>
    <w:rsid w:val="00B04E52"/>
    <w:rsid w:val="00B064E0"/>
    <w:rsid w:val="00B0681C"/>
    <w:rsid w:val="00B06DF0"/>
    <w:rsid w:val="00B125E7"/>
    <w:rsid w:val="00B17733"/>
    <w:rsid w:val="00B17A2D"/>
    <w:rsid w:val="00B238A2"/>
    <w:rsid w:val="00B24199"/>
    <w:rsid w:val="00B2684F"/>
    <w:rsid w:val="00B30708"/>
    <w:rsid w:val="00B30B1C"/>
    <w:rsid w:val="00B32557"/>
    <w:rsid w:val="00B40A36"/>
    <w:rsid w:val="00B421B9"/>
    <w:rsid w:val="00B43070"/>
    <w:rsid w:val="00B43FAA"/>
    <w:rsid w:val="00B46946"/>
    <w:rsid w:val="00B52319"/>
    <w:rsid w:val="00B5524B"/>
    <w:rsid w:val="00B60374"/>
    <w:rsid w:val="00B624DE"/>
    <w:rsid w:val="00B631C4"/>
    <w:rsid w:val="00B648B6"/>
    <w:rsid w:val="00B65453"/>
    <w:rsid w:val="00B669BA"/>
    <w:rsid w:val="00B67E11"/>
    <w:rsid w:val="00B75280"/>
    <w:rsid w:val="00B81D39"/>
    <w:rsid w:val="00B82D37"/>
    <w:rsid w:val="00B879EB"/>
    <w:rsid w:val="00B87A14"/>
    <w:rsid w:val="00B87A48"/>
    <w:rsid w:val="00B91A45"/>
    <w:rsid w:val="00BA398E"/>
    <w:rsid w:val="00BA58F0"/>
    <w:rsid w:val="00BA6D3B"/>
    <w:rsid w:val="00BA7453"/>
    <w:rsid w:val="00BB0336"/>
    <w:rsid w:val="00BB0FA2"/>
    <w:rsid w:val="00BB2223"/>
    <w:rsid w:val="00BB2B7B"/>
    <w:rsid w:val="00BB2E6B"/>
    <w:rsid w:val="00BC0C20"/>
    <w:rsid w:val="00BC508C"/>
    <w:rsid w:val="00BC79D7"/>
    <w:rsid w:val="00BD1389"/>
    <w:rsid w:val="00BD41E9"/>
    <w:rsid w:val="00BD51C6"/>
    <w:rsid w:val="00BD7908"/>
    <w:rsid w:val="00BE057A"/>
    <w:rsid w:val="00BE2D96"/>
    <w:rsid w:val="00BE520A"/>
    <w:rsid w:val="00BE5A23"/>
    <w:rsid w:val="00BE6705"/>
    <w:rsid w:val="00BE7FAD"/>
    <w:rsid w:val="00BF03C1"/>
    <w:rsid w:val="00BF0DAF"/>
    <w:rsid w:val="00BF0E76"/>
    <w:rsid w:val="00BF1E08"/>
    <w:rsid w:val="00BF2EB6"/>
    <w:rsid w:val="00BF7A0C"/>
    <w:rsid w:val="00C063C0"/>
    <w:rsid w:val="00C06DB4"/>
    <w:rsid w:val="00C0756A"/>
    <w:rsid w:val="00C12BE9"/>
    <w:rsid w:val="00C13786"/>
    <w:rsid w:val="00C14FCB"/>
    <w:rsid w:val="00C15A0C"/>
    <w:rsid w:val="00C15FE3"/>
    <w:rsid w:val="00C2443D"/>
    <w:rsid w:val="00C24999"/>
    <w:rsid w:val="00C25A3F"/>
    <w:rsid w:val="00C2616B"/>
    <w:rsid w:val="00C26E45"/>
    <w:rsid w:val="00C318C2"/>
    <w:rsid w:val="00C35769"/>
    <w:rsid w:val="00C405C9"/>
    <w:rsid w:val="00C40FE1"/>
    <w:rsid w:val="00C434BA"/>
    <w:rsid w:val="00C44BCE"/>
    <w:rsid w:val="00C46EAD"/>
    <w:rsid w:val="00C51140"/>
    <w:rsid w:val="00C536A9"/>
    <w:rsid w:val="00C56A2B"/>
    <w:rsid w:val="00C57A7D"/>
    <w:rsid w:val="00C57DD2"/>
    <w:rsid w:val="00C6039F"/>
    <w:rsid w:val="00C61FE7"/>
    <w:rsid w:val="00C64B7C"/>
    <w:rsid w:val="00C673DF"/>
    <w:rsid w:val="00C75A94"/>
    <w:rsid w:val="00C77A24"/>
    <w:rsid w:val="00C77AA8"/>
    <w:rsid w:val="00C804FA"/>
    <w:rsid w:val="00C82D91"/>
    <w:rsid w:val="00C82E68"/>
    <w:rsid w:val="00C862B3"/>
    <w:rsid w:val="00C87690"/>
    <w:rsid w:val="00C87B3D"/>
    <w:rsid w:val="00C92F00"/>
    <w:rsid w:val="00C936E3"/>
    <w:rsid w:val="00C93DA5"/>
    <w:rsid w:val="00C9452A"/>
    <w:rsid w:val="00C94FA3"/>
    <w:rsid w:val="00C9774D"/>
    <w:rsid w:val="00CA00CA"/>
    <w:rsid w:val="00CA0334"/>
    <w:rsid w:val="00CA2884"/>
    <w:rsid w:val="00CA2953"/>
    <w:rsid w:val="00CA3206"/>
    <w:rsid w:val="00CA348C"/>
    <w:rsid w:val="00CA4CD5"/>
    <w:rsid w:val="00CA68AA"/>
    <w:rsid w:val="00CB12D2"/>
    <w:rsid w:val="00CB3280"/>
    <w:rsid w:val="00CB3F09"/>
    <w:rsid w:val="00CB4283"/>
    <w:rsid w:val="00CB4873"/>
    <w:rsid w:val="00CB57BD"/>
    <w:rsid w:val="00CB618B"/>
    <w:rsid w:val="00CC1A9F"/>
    <w:rsid w:val="00CC1C9A"/>
    <w:rsid w:val="00CC252A"/>
    <w:rsid w:val="00CC4493"/>
    <w:rsid w:val="00CC44BA"/>
    <w:rsid w:val="00CC47DB"/>
    <w:rsid w:val="00CC5D81"/>
    <w:rsid w:val="00CC7B84"/>
    <w:rsid w:val="00CD275C"/>
    <w:rsid w:val="00CD4231"/>
    <w:rsid w:val="00CD4AF0"/>
    <w:rsid w:val="00CD7B4A"/>
    <w:rsid w:val="00CE3A30"/>
    <w:rsid w:val="00CE4050"/>
    <w:rsid w:val="00CE4F1D"/>
    <w:rsid w:val="00CE602D"/>
    <w:rsid w:val="00CE65F8"/>
    <w:rsid w:val="00CE792C"/>
    <w:rsid w:val="00CE7DD4"/>
    <w:rsid w:val="00CF59F8"/>
    <w:rsid w:val="00CF615A"/>
    <w:rsid w:val="00CF745F"/>
    <w:rsid w:val="00D0047C"/>
    <w:rsid w:val="00D01366"/>
    <w:rsid w:val="00D0265F"/>
    <w:rsid w:val="00D03403"/>
    <w:rsid w:val="00D046B8"/>
    <w:rsid w:val="00D12693"/>
    <w:rsid w:val="00D1359A"/>
    <w:rsid w:val="00D22FAB"/>
    <w:rsid w:val="00D258FD"/>
    <w:rsid w:val="00D26687"/>
    <w:rsid w:val="00D2689C"/>
    <w:rsid w:val="00D26B80"/>
    <w:rsid w:val="00D30EE3"/>
    <w:rsid w:val="00D329C5"/>
    <w:rsid w:val="00D3321C"/>
    <w:rsid w:val="00D337F6"/>
    <w:rsid w:val="00D35580"/>
    <w:rsid w:val="00D356EA"/>
    <w:rsid w:val="00D401A6"/>
    <w:rsid w:val="00D409EF"/>
    <w:rsid w:val="00D40B26"/>
    <w:rsid w:val="00D453E0"/>
    <w:rsid w:val="00D5328E"/>
    <w:rsid w:val="00D54F1A"/>
    <w:rsid w:val="00D565F5"/>
    <w:rsid w:val="00D567DA"/>
    <w:rsid w:val="00D577DB"/>
    <w:rsid w:val="00D57E1A"/>
    <w:rsid w:val="00D608B9"/>
    <w:rsid w:val="00D61861"/>
    <w:rsid w:val="00D622CD"/>
    <w:rsid w:val="00D62567"/>
    <w:rsid w:val="00D66575"/>
    <w:rsid w:val="00D70550"/>
    <w:rsid w:val="00D80FD3"/>
    <w:rsid w:val="00D82784"/>
    <w:rsid w:val="00D8528C"/>
    <w:rsid w:val="00D87357"/>
    <w:rsid w:val="00D93C90"/>
    <w:rsid w:val="00D97E72"/>
    <w:rsid w:val="00DA0B4C"/>
    <w:rsid w:val="00DA116F"/>
    <w:rsid w:val="00DA25E7"/>
    <w:rsid w:val="00DA56E9"/>
    <w:rsid w:val="00DA71CC"/>
    <w:rsid w:val="00DB0579"/>
    <w:rsid w:val="00DB697C"/>
    <w:rsid w:val="00DB727B"/>
    <w:rsid w:val="00DB7622"/>
    <w:rsid w:val="00DB7E9D"/>
    <w:rsid w:val="00DC26C6"/>
    <w:rsid w:val="00DC277E"/>
    <w:rsid w:val="00DC3027"/>
    <w:rsid w:val="00DC383B"/>
    <w:rsid w:val="00DC3D1F"/>
    <w:rsid w:val="00DD13E3"/>
    <w:rsid w:val="00DD2ED9"/>
    <w:rsid w:val="00DD33A6"/>
    <w:rsid w:val="00DD4A45"/>
    <w:rsid w:val="00DD63D1"/>
    <w:rsid w:val="00DE0362"/>
    <w:rsid w:val="00DE222A"/>
    <w:rsid w:val="00DE34C7"/>
    <w:rsid w:val="00DE3DF8"/>
    <w:rsid w:val="00DE5E9E"/>
    <w:rsid w:val="00DE7D44"/>
    <w:rsid w:val="00DF0E81"/>
    <w:rsid w:val="00DF1196"/>
    <w:rsid w:val="00DF73D5"/>
    <w:rsid w:val="00E006A4"/>
    <w:rsid w:val="00E01733"/>
    <w:rsid w:val="00E041AA"/>
    <w:rsid w:val="00E0726C"/>
    <w:rsid w:val="00E12C8B"/>
    <w:rsid w:val="00E13696"/>
    <w:rsid w:val="00E15607"/>
    <w:rsid w:val="00E15BD9"/>
    <w:rsid w:val="00E20153"/>
    <w:rsid w:val="00E213C3"/>
    <w:rsid w:val="00E24AF7"/>
    <w:rsid w:val="00E2637A"/>
    <w:rsid w:val="00E31555"/>
    <w:rsid w:val="00E31DCB"/>
    <w:rsid w:val="00E3267B"/>
    <w:rsid w:val="00E350B1"/>
    <w:rsid w:val="00E355CF"/>
    <w:rsid w:val="00E355D3"/>
    <w:rsid w:val="00E37A69"/>
    <w:rsid w:val="00E40E68"/>
    <w:rsid w:val="00E420DA"/>
    <w:rsid w:val="00E432BC"/>
    <w:rsid w:val="00E452FF"/>
    <w:rsid w:val="00E46A23"/>
    <w:rsid w:val="00E471B1"/>
    <w:rsid w:val="00E47253"/>
    <w:rsid w:val="00E52FB0"/>
    <w:rsid w:val="00E5543F"/>
    <w:rsid w:val="00E61183"/>
    <w:rsid w:val="00E61800"/>
    <w:rsid w:val="00E62303"/>
    <w:rsid w:val="00E658A8"/>
    <w:rsid w:val="00E668DA"/>
    <w:rsid w:val="00E676D9"/>
    <w:rsid w:val="00E71800"/>
    <w:rsid w:val="00E73BE6"/>
    <w:rsid w:val="00E73BEC"/>
    <w:rsid w:val="00E73D9E"/>
    <w:rsid w:val="00E73E25"/>
    <w:rsid w:val="00E74949"/>
    <w:rsid w:val="00E74A8E"/>
    <w:rsid w:val="00E76AD5"/>
    <w:rsid w:val="00E82224"/>
    <w:rsid w:val="00E87A83"/>
    <w:rsid w:val="00E96C97"/>
    <w:rsid w:val="00EA09A8"/>
    <w:rsid w:val="00EA3E32"/>
    <w:rsid w:val="00EA6D61"/>
    <w:rsid w:val="00EA704E"/>
    <w:rsid w:val="00EA7F7C"/>
    <w:rsid w:val="00EB2913"/>
    <w:rsid w:val="00EB42BD"/>
    <w:rsid w:val="00EB642C"/>
    <w:rsid w:val="00EC2475"/>
    <w:rsid w:val="00EC4E86"/>
    <w:rsid w:val="00EC5566"/>
    <w:rsid w:val="00EC69E9"/>
    <w:rsid w:val="00ED12A0"/>
    <w:rsid w:val="00ED2D4B"/>
    <w:rsid w:val="00ED4F9C"/>
    <w:rsid w:val="00ED55F8"/>
    <w:rsid w:val="00ED5689"/>
    <w:rsid w:val="00ED697B"/>
    <w:rsid w:val="00ED70F4"/>
    <w:rsid w:val="00EE0B69"/>
    <w:rsid w:val="00EE0F9A"/>
    <w:rsid w:val="00EE1A69"/>
    <w:rsid w:val="00EE5547"/>
    <w:rsid w:val="00EE7CE2"/>
    <w:rsid w:val="00EF6DB6"/>
    <w:rsid w:val="00EF6EF4"/>
    <w:rsid w:val="00F00091"/>
    <w:rsid w:val="00F005E7"/>
    <w:rsid w:val="00F01476"/>
    <w:rsid w:val="00F0190B"/>
    <w:rsid w:val="00F0202B"/>
    <w:rsid w:val="00F02302"/>
    <w:rsid w:val="00F03454"/>
    <w:rsid w:val="00F0494D"/>
    <w:rsid w:val="00F04A09"/>
    <w:rsid w:val="00F05D9E"/>
    <w:rsid w:val="00F06492"/>
    <w:rsid w:val="00F07ED0"/>
    <w:rsid w:val="00F10121"/>
    <w:rsid w:val="00F1264F"/>
    <w:rsid w:val="00F12882"/>
    <w:rsid w:val="00F1424F"/>
    <w:rsid w:val="00F1577A"/>
    <w:rsid w:val="00F21581"/>
    <w:rsid w:val="00F22362"/>
    <w:rsid w:val="00F24C6B"/>
    <w:rsid w:val="00F26850"/>
    <w:rsid w:val="00F274AF"/>
    <w:rsid w:val="00F308B0"/>
    <w:rsid w:val="00F3163A"/>
    <w:rsid w:val="00F3402B"/>
    <w:rsid w:val="00F365E1"/>
    <w:rsid w:val="00F3673E"/>
    <w:rsid w:val="00F400D9"/>
    <w:rsid w:val="00F40471"/>
    <w:rsid w:val="00F43778"/>
    <w:rsid w:val="00F43A25"/>
    <w:rsid w:val="00F44207"/>
    <w:rsid w:val="00F442EF"/>
    <w:rsid w:val="00F44932"/>
    <w:rsid w:val="00F471C7"/>
    <w:rsid w:val="00F509D2"/>
    <w:rsid w:val="00F53E92"/>
    <w:rsid w:val="00F554B2"/>
    <w:rsid w:val="00F579EE"/>
    <w:rsid w:val="00F57BC9"/>
    <w:rsid w:val="00F60225"/>
    <w:rsid w:val="00F61A0A"/>
    <w:rsid w:val="00F61AD6"/>
    <w:rsid w:val="00F641D8"/>
    <w:rsid w:val="00F64532"/>
    <w:rsid w:val="00F66627"/>
    <w:rsid w:val="00F711EC"/>
    <w:rsid w:val="00F71E61"/>
    <w:rsid w:val="00F75713"/>
    <w:rsid w:val="00F75AB0"/>
    <w:rsid w:val="00F75C73"/>
    <w:rsid w:val="00F81536"/>
    <w:rsid w:val="00F85169"/>
    <w:rsid w:val="00F85239"/>
    <w:rsid w:val="00F8527D"/>
    <w:rsid w:val="00F8540D"/>
    <w:rsid w:val="00F90548"/>
    <w:rsid w:val="00F922EF"/>
    <w:rsid w:val="00F937BD"/>
    <w:rsid w:val="00F962DC"/>
    <w:rsid w:val="00FA07CF"/>
    <w:rsid w:val="00FA2F0E"/>
    <w:rsid w:val="00FA4ABC"/>
    <w:rsid w:val="00FA51C6"/>
    <w:rsid w:val="00FA5D2F"/>
    <w:rsid w:val="00FB11E7"/>
    <w:rsid w:val="00FB7C96"/>
    <w:rsid w:val="00FC1F97"/>
    <w:rsid w:val="00FC460B"/>
    <w:rsid w:val="00FC56B8"/>
    <w:rsid w:val="00FC5F20"/>
    <w:rsid w:val="00FC69AF"/>
    <w:rsid w:val="00FC7B5E"/>
    <w:rsid w:val="00FD079E"/>
    <w:rsid w:val="00FD0B41"/>
    <w:rsid w:val="00FD20A0"/>
    <w:rsid w:val="00FD4991"/>
    <w:rsid w:val="00FE0113"/>
    <w:rsid w:val="00FE0A00"/>
    <w:rsid w:val="00FE0D2A"/>
    <w:rsid w:val="00FE417B"/>
    <w:rsid w:val="00FE6AF1"/>
    <w:rsid w:val="00FE7A2E"/>
    <w:rsid w:val="00FF1392"/>
    <w:rsid w:val="00FF2D63"/>
    <w:rsid w:val="00FF403E"/>
    <w:rsid w:val="00FF6ACF"/>
    <w:rsid w:val="00FF7157"/>
    <w:rsid w:val="01086012"/>
    <w:rsid w:val="012F23D2"/>
    <w:rsid w:val="01353E46"/>
    <w:rsid w:val="013D20EF"/>
    <w:rsid w:val="013D4C8F"/>
    <w:rsid w:val="0141555F"/>
    <w:rsid w:val="01542AFA"/>
    <w:rsid w:val="015E6630"/>
    <w:rsid w:val="016C75C7"/>
    <w:rsid w:val="018D524F"/>
    <w:rsid w:val="019036D8"/>
    <w:rsid w:val="01A01767"/>
    <w:rsid w:val="01A66FAC"/>
    <w:rsid w:val="01BD4FDC"/>
    <w:rsid w:val="01C42B8B"/>
    <w:rsid w:val="01CE3A0A"/>
    <w:rsid w:val="01E941AE"/>
    <w:rsid w:val="01ED256A"/>
    <w:rsid w:val="01FE504C"/>
    <w:rsid w:val="021A6C4F"/>
    <w:rsid w:val="02201D8C"/>
    <w:rsid w:val="0221105C"/>
    <w:rsid w:val="02240E71"/>
    <w:rsid w:val="022F6268"/>
    <w:rsid w:val="0230144B"/>
    <w:rsid w:val="023E2A8F"/>
    <w:rsid w:val="023F01AC"/>
    <w:rsid w:val="02497F02"/>
    <w:rsid w:val="025C7268"/>
    <w:rsid w:val="025D37A6"/>
    <w:rsid w:val="02630A21"/>
    <w:rsid w:val="027520D7"/>
    <w:rsid w:val="028265A2"/>
    <w:rsid w:val="02910656"/>
    <w:rsid w:val="029452C8"/>
    <w:rsid w:val="0299330C"/>
    <w:rsid w:val="029E3E12"/>
    <w:rsid w:val="02AE2F1E"/>
    <w:rsid w:val="02B07476"/>
    <w:rsid w:val="02B12263"/>
    <w:rsid w:val="02B34262"/>
    <w:rsid w:val="02BA6D6B"/>
    <w:rsid w:val="02BC6761"/>
    <w:rsid w:val="02C30781"/>
    <w:rsid w:val="02C32A89"/>
    <w:rsid w:val="02EB23C8"/>
    <w:rsid w:val="02ED4254"/>
    <w:rsid w:val="02F54A67"/>
    <w:rsid w:val="02FB586B"/>
    <w:rsid w:val="032764F6"/>
    <w:rsid w:val="032C124E"/>
    <w:rsid w:val="03355FAD"/>
    <w:rsid w:val="03357A15"/>
    <w:rsid w:val="033F6615"/>
    <w:rsid w:val="034A4B76"/>
    <w:rsid w:val="03604B36"/>
    <w:rsid w:val="03646BB0"/>
    <w:rsid w:val="036A455B"/>
    <w:rsid w:val="03700AD7"/>
    <w:rsid w:val="03881BEB"/>
    <w:rsid w:val="03B07722"/>
    <w:rsid w:val="03B94246"/>
    <w:rsid w:val="03C9092D"/>
    <w:rsid w:val="03C947DD"/>
    <w:rsid w:val="03CD0376"/>
    <w:rsid w:val="03E73921"/>
    <w:rsid w:val="03E868D9"/>
    <w:rsid w:val="03EB0F95"/>
    <w:rsid w:val="03F1290E"/>
    <w:rsid w:val="04002E0B"/>
    <w:rsid w:val="040F03FA"/>
    <w:rsid w:val="0412438A"/>
    <w:rsid w:val="04136717"/>
    <w:rsid w:val="041D2A27"/>
    <w:rsid w:val="04332546"/>
    <w:rsid w:val="04533461"/>
    <w:rsid w:val="048D54DF"/>
    <w:rsid w:val="04B51F1A"/>
    <w:rsid w:val="04BD0338"/>
    <w:rsid w:val="04C44C50"/>
    <w:rsid w:val="04C56D31"/>
    <w:rsid w:val="04CD0D24"/>
    <w:rsid w:val="04CF0F22"/>
    <w:rsid w:val="04D7542D"/>
    <w:rsid w:val="04DD163F"/>
    <w:rsid w:val="04E452F2"/>
    <w:rsid w:val="04E82F5F"/>
    <w:rsid w:val="05080EB6"/>
    <w:rsid w:val="05084E1A"/>
    <w:rsid w:val="0536624A"/>
    <w:rsid w:val="05476ED2"/>
    <w:rsid w:val="05507187"/>
    <w:rsid w:val="05547F50"/>
    <w:rsid w:val="05586D81"/>
    <w:rsid w:val="055909BC"/>
    <w:rsid w:val="056775E0"/>
    <w:rsid w:val="05812096"/>
    <w:rsid w:val="05962A91"/>
    <w:rsid w:val="05A174D0"/>
    <w:rsid w:val="05A31C11"/>
    <w:rsid w:val="05A54A82"/>
    <w:rsid w:val="05B15E1B"/>
    <w:rsid w:val="05B6570E"/>
    <w:rsid w:val="05B719DB"/>
    <w:rsid w:val="05C8568A"/>
    <w:rsid w:val="05D411B5"/>
    <w:rsid w:val="05DC03BC"/>
    <w:rsid w:val="05E03755"/>
    <w:rsid w:val="05E05D39"/>
    <w:rsid w:val="05EE025B"/>
    <w:rsid w:val="05FB2E46"/>
    <w:rsid w:val="06274DE9"/>
    <w:rsid w:val="0643158D"/>
    <w:rsid w:val="0652465D"/>
    <w:rsid w:val="06606ACF"/>
    <w:rsid w:val="06632C8A"/>
    <w:rsid w:val="066C44D0"/>
    <w:rsid w:val="066F0F20"/>
    <w:rsid w:val="06780BE4"/>
    <w:rsid w:val="067D77AC"/>
    <w:rsid w:val="0688298E"/>
    <w:rsid w:val="06A978A6"/>
    <w:rsid w:val="06BA577F"/>
    <w:rsid w:val="06C373A0"/>
    <w:rsid w:val="06CA61EA"/>
    <w:rsid w:val="06CE3AAD"/>
    <w:rsid w:val="06D3256B"/>
    <w:rsid w:val="06E93094"/>
    <w:rsid w:val="07142FC9"/>
    <w:rsid w:val="0716354A"/>
    <w:rsid w:val="071A113A"/>
    <w:rsid w:val="071A5532"/>
    <w:rsid w:val="073F7F68"/>
    <w:rsid w:val="07433326"/>
    <w:rsid w:val="074D1200"/>
    <w:rsid w:val="07601D7C"/>
    <w:rsid w:val="07701435"/>
    <w:rsid w:val="078057A6"/>
    <w:rsid w:val="0781151E"/>
    <w:rsid w:val="0791006E"/>
    <w:rsid w:val="07A93817"/>
    <w:rsid w:val="07AA51F7"/>
    <w:rsid w:val="07C16E32"/>
    <w:rsid w:val="07C850B5"/>
    <w:rsid w:val="07C956F1"/>
    <w:rsid w:val="07DE071F"/>
    <w:rsid w:val="07E724F1"/>
    <w:rsid w:val="07F54B10"/>
    <w:rsid w:val="080D2DB2"/>
    <w:rsid w:val="081E6051"/>
    <w:rsid w:val="08236132"/>
    <w:rsid w:val="0824157E"/>
    <w:rsid w:val="082A5712"/>
    <w:rsid w:val="08365D8B"/>
    <w:rsid w:val="083932FD"/>
    <w:rsid w:val="083C1D74"/>
    <w:rsid w:val="08442529"/>
    <w:rsid w:val="08664D5B"/>
    <w:rsid w:val="087338E5"/>
    <w:rsid w:val="087B79DB"/>
    <w:rsid w:val="087E552F"/>
    <w:rsid w:val="08915F4B"/>
    <w:rsid w:val="08935065"/>
    <w:rsid w:val="08994E2C"/>
    <w:rsid w:val="089E0248"/>
    <w:rsid w:val="08AA7F40"/>
    <w:rsid w:val="08AC09F8"/>
    <w:rsid w:val="08AF1C74"/>
    <w:rsid w:val="08B76FB8"/>
    <w:rsid w:val="08BB3B09"/>
    <w:rsid w:val="08EC3C9C"/>
    <w:rsid w:val="08EF4818"/>
    <w:rsid w:val="08F26284"/>
    <w:rsid w:val="08F57B11"/>
    <w:rsid w:val="08F617F2"/>
    <w:rsid w:val="08F64252"/>
    <w:rsid w:val="08F94C8C"/>
    <w:rsid w:val="08FD0C7A"/>
    <w:rsid w:val="09027DBF"/>
    <w:rsid w:val="090F109A"/>
    <w:rsid w:val="09151314"/>
    <w:rsid w:val="09263609"/>
    <w:rsid w:val="092E2FE0"/>
    <w:rsid w:val="093E5BC8"/>
    <w:rsid w:val="0953633D"/>
    <w:rsid w:val="095867F9"/>
    <w:rsid w:val="096659B3"/>
    <w:rsid w:val="09697733"/>
    <w:rsid w:val="09744110"/>
    <w:rsid w:val="097D56DC"/>
    <w:rsid w:val="09953804"/>
    <w:rsid w:val="099A0675"/>
    <w:rsid w:val="099C034D"/>
    <w:rsid w:val="09A71810"/>
    <w:rsid w:val="09AF52BC"/>
    <w:rsid w:val="09C556F2"/>
    <w:rsid w:val="09C6146A"/>
    <w:rsid w:val="09C9680A"/>
    <w:rsid w:val="09E33DCA"/>
    <w:rsid w:val="09EA33AB"/>
    <w:rsid w:val="09EA6668"/>
    <w:rsid w:val="0A0501E5"/>
    <w:rsid w:val="0A075D0B"/>
    <w:rsid w:val="0A0A57FB"/>
    <w:rsid w:val="0A193C90"/>
    <w:rsid w:val="0A1A77A1"/>
    <w:rsid w:val="0A344C83"/>
    <w:rsid w:val="0A3E3D26"/>
    <w:rsid w:val="0A4834F8"/>
    <w:rsid w:val="0A544CC8"/>
    <w:rsid w:val="0A6173D2"/>
    <w:rsid w:val="0A682231"/>
    <w:rsid w:val="0A6825A9"/>
    <w:rsid w:val="0A781198"/>
    <w:rsid w:val="0A9E7CF1"/>
    <w:rsid w:val="0AAC10E4"/>
    <w:rsid w:val="0AB07E4A"/>
    <w:rsid w:val="0AC93B72"/>
    <w:rsid w:val="0ACA6D38"/>
    <w:rsid w:val="0AD53C26"/>
    <w:rsid w:val="0ADD3B4A"/>
    <w:rsid w:val="0ADD5F51"/>
    <w:rsid w:val="0AEC3153"/>
    <w:rsid w:val="0AEE775A"/>
    <w:rsid w:val="0AFF5154"/>
    <w:rsid w:val="0B0260FA"/>
    <w:rsid w:val="0B127FA5"/>
    <w:rsid w:val="0B187C06"/>
    <w:rsid w:val="0B2823DD"/>
    <w:rsid w:val="0B42541F"/>
    <w:rsid w:val="0B462863"/>
    <w:rsid w:val="0B4B3360"/>
    <w:rsid w:val="0B6153F6"/>
    <w:rsid w:val="0B6C4BE2"/>
    <w:rsid w:val="0B895D1E"/>
    <w:rsid w:val="0B8A5322"/>
    <w:rsid w:val="0B903157"/>
    <w:rsid w:val="0B9335CE"/>
    <w:rsid w:val="0BA653BF"/>
    <w:rsid w:val="0BAC6F99"/>
    <w:rsid w:val="0BCD1EAC"/>
    <w:rsid w:val="0BCF142C"/>
    <w:rsid w:val="0BDC319A"/>
    <w:rsid w:val="0BFB783E"/>
    <w:rsid w:val="0BFD5373"/>
    <w:rsid w:val="0BFD6481"/>
    <w:rsid w:val="0C0F0CD9"/>
    <w:rsid w:val="0C1240A4"/>
    <w:rsid w:val="0C3D1EB8"/>
    <w:rsid w:val="0C631998"/>
    <w:rsid w:val="0C6821F6"/>
    <w:rsid w:val="0C990787"/>
    <w:rsid w:val="0C992D4F"/>
    <w:rsid w:val="0CAE3A50"/>
    <w:rsid w:val="0CBF15FF"/>
    <w:rsid w:val="0CC20F4F"/>
    <w:rsid w:val="0CD90540"/>
    <w:rsid w:val="0CD91857"/>
    <w:rsid w:val="0CDA4E4E"/>
    <w:rsid w:val="0CF258A4"/>
    <w:rsid w:val="0D212A41"/>
    <w:rsid w:val="0D214045"/>
    <w:rsid w:val="0D215F2C"/>
    <w:rsid w:val="0D314FE6"/>
    <w:rsid w:val="0D330BC5"/>
    <w:rsid w:val="0D540C02"/>
    <w:rsid w:val="0D571C0F"/>
    <w:rsid w:val="0D5F19BA"/>
    <w:rsid w:val="0D637F0E"/>
    <w:rsid w:val="0D645222"/>
    <w:rsid w:val="0D6A5410"/>
    <w:rsid w:val="0D794CB6"/>
    <w:rsid w:val="0D8324ED"/>
    <w:rsid w:val="0D8D2220"/>
    <w:rsid w:val="0D8F059D"/>
    <w:rsid w:val="0D8F5855"/>
    <w:rsid w:val="0D936D15"/>
    <w:rsid w:val="0D9827E5"/>
    <w:rsid w:val="0DAF3D29"/>
    <w:rsid w:val="0DC466B9"/>
    <w:rsid w:val="0DC54945"/>
    <w:rsid w:val="0DF25BA4"/>
    <w:rsid w:val="0DFD573A"/>
    <w:rsid w:val="0DFE1012"/>
    <w:rsid w:val="0E0B029F"/>
    <w:rsid w:val="0E230373"/>
    <w:rsid w:val="0E2A41ED"/>
    <w:rsid w:val="0E30302E"/>
    <w:rsid w:val="0E351EED"/>
    <w:rsid w:val="0E397874"/>
    <w:rsid w:val="0E461B92"/>
    <w:rsid w:val="0E6059EA"/>
    <w:rsid w:val="0E632208"/>
    <w:rsid w:val="0E6574A4"/>
    <w:rsid w:val="0E844468"/>
    <w:rsid w:val="0E8B1DA6"/>
    <w:rsid w:val="0E9E135B"/>
    <w:rsid w:val="0EA44F43"/>
    <w:rsid w:val="0EA55AF2"/>
    <w:rsid w:val="0EA62844"/>
    <w:rsid w:val="0EC2669E"/>
    <w:rsid w:val="0ED75315"/>
    <w:rsid w:val="0ED756CF"/>
    <w:rsid w:val="0EE34A0A"/>
    <w:rsid w:val="0EEF23A4"/>
    <w:rsid w:val="0F2500FF"/>
    <w:rsid w:val="0F2A7DB7"/>
    <w:rsid w:val="0F2D61D9"/>
    <w:rsid w:val="0F43254D"/>
    <w:rsid w:val="0F45451E"/>
    <w:rsid w:val="0F5372FC"/>
    <w:rsid w:val="0F543C48"/>
    <w:rsid w:val="0F54568B"/>
    <w:rsid w:val="0F6801CF"/>
    <w:rsid w:val="0F7F71A8"/>
    <w:rsid w:val="0F851480"/>
    <w:rsid w:val="0F9B0554"/>
    <w:rsid w:val="0FAF5422"/>
    <w:rsid w:val="0FAF5990"/>
    <w:rsid w:val="0FB271E8"/>
    <w:rsid w:val="0FB3423F"/>
    <w:rsid w:val="0FB73D2F"/>
    <w:rsid w:val="0FBF1392"/>
    <w:rsid w:val="0FC41BDA"/>
    <w:rsid w:val="0FC63F72"/>
    <w:rsid w:val="0FD84D52"/>
    <w:rsid w:val="0FD93801"/>
    <w:rsid w:val="0FDC41E3"/>
    <w:rsid w:val="0FE95EB3"/>
    <w:rsid w:val="100532FE"/>
    <w:rsid w:val="100C40A0"/>
    <w:rsid w:val="10131FB5"/>
    <w:rsid w:val="10176676"/>
    <w:rsid w:val="1031732E"/>
    <w:rsid w:val="10327E3A"/>
    <w:rsid w:val="10374301"/>
    <w:rsid w:val="10394E9C"/>
    <w:rsid w:val="103A764D"/>
    <w:rsid w:val="103B6EC4"/>
    <w:rsid w:val="10457DEF"/>
    <w:rsid w:val="10482BD9"/>
    <w:rsid w:val="104A6951"/>
    <w:rsid w:val="105628E7"/>
    <w:rsid w:val="105A27E6"/>
    <w:rsid w:val="108120DC"/>
    <w:rsid w:val="108950E7"/>
    <w:rsid w:val="109135C4"/>
    <w:rsid w:val="10945E1E"/>
    <w:rsid w:val="10A4426E"/>
    <w:rsid w:val="10B656D8"/>
    <w:rsid w:val="10BB6F68"/>
    <w:rsid w:val="10C37A22"/>
    <w:rsid w:val="10C556C7"/>
    <w:rsid w:val="10C55FD8"/>
    <w:rsid w:val="10F772EF"/>
    <w:rsid w:val="11017A58"/>
    <w:rsid w:val="11023D17"/>
    <w:rsid w:val="110F34C8"/>
    <w:rsid w:val="11491151"/>
    <w:rsid w:val="114E06C3"/>
    <w:rsid w:val="1159543F"/>
    <w:rsid w:val="116230D1"/>
    <w:rsid w:val="116A7E05"/>
    <w:rsid w:val="11722460"/>
    <w:rsid w:val="117A4F14"/>
    <w:rsid w:val="119D6F55"/>
    <w:rsid w:val="11CB1987"/>
    <w:rsid w:val="11D529F0"/>
    <w:rsid w:val="11DC5FC8"/>
    <w:rsid w:val="11E1306C"/>
    <w:rsid w:val="11E71072"/>
    <w:rsid w:val="11EE2FAE"/>
    <w:rsid w:val="11F55D84"/>
    <w:rsid w:val="11F95233"/>
    <w:rsid w:val="11FE73E1"/>
    <w:rsid w:val="120314AE"/>
    <w:rsid w:val="1206271C"/>
    <w:rsid w:val="120E39AF"/>
    <w:rsid w:val="12114BE2"/>
    <w:rsid w:val="121911ED"/>
    <w:rsid w:val="12261816"/>
    <w:rsid w:val="122816CA"/>
    <w:rsid w:val="1231523F"/>
    <w:rsid w:val="12392AE3"/>
    <w:rsid w:val="123C676E"/>
    <w:rsid w:val="12404237"/>
    <w:rsid w:val="12421044"/>
    <w:rsid w:val="127A5380"/>
    <w:rsid w:val="12957C2C"/>
    <w:rsid w:val="1298079E"/>
    <w:rsid w:val="12AD5EBA"/>
    <w:rsid w:val="12B10442"/>
    <w:rsid w:val="12C319F0"/>
    <w:rsid w:val="12CB7F7B"/>
    <w:rsid w:val="12D57B5A"/>
    <w:rsid w:val="12D60970"/>
    <w:rsid w:val="12DA74FD"/>
    <w:rsid w:val="12E11965"/>
    <w:rsid w:val="130354DD"/>
    <w:rsid w:val="13160E95"/>
    <w:rsid w:val="131D4A08"/>
    <w:rsid w:val="132A077A"/>
    <w:rsid w:val="132B4874"/>
    <w:rsid w:val="13365D96"/>
    <w:rsid w:val="133833D9"/>
    <w:rsid w:val="13401CF4"/>
    <w:rsid w:val="13474541"/>
    <w:rsid w:val="13475083"/>
    <w:rsid w:val="13477178"/>
    <w:rsid w:val="13597FDE"/>
    <w:rsid w:val="135F6825"/>
    <w:rsid w:val="13610A7C"/>
    <w:rsid w:val="1370511E"/>
    <w:rsid w:val="138A2CF3"/>
    <w:rsid w:val="139600FA"/>
    <w:rsid w:val="139B1B3C"/>
    <w:rsid w:val="13AC7923"/>
    <w:rsid w:val="13BB36C2"/>
    <w:rsid w:val="13C163E4"/>
    <w:rsid w:val="13CF69C3"/>
    <w:rsid w:val="13E63AA6"/>
    <w:rsid w:val="13EB21F9"/>
    <w:rsid w:val="13F175F7"/>
    <w:rsid w:val="13F33B15"/>
    <w:rsid w:val="13F85DC5"/>
    <w:rsid w:val="13FC3073"/>
    <w:rsid w:val="14002DA6"/>
    <w:rsid w:val="141601C0"/>
    <w:rsid w:val="14183270"/>
    <w:rsid w:val="141D447E"/>
    <w:rsid w:val="141D6B0B"/>
    <w:rsid w:val="142D6F89"/>
    <w:rsid w:val="144554E0"/>
    <w:rsid w:val="144C2ACB"/>
    <w:rsid w:val="145908CD"/>
    <w:rsid w:val="1461426A"/>
    <w:rsid w:val="146975C2"/>
    <w:rsid w:val="148617D9"/>
    <w:rsid w:val="149258A7"/>
    <w:rsid w:val="149321EC"/>
    <w:rsid w:val="14A979BF"/>
    <w:rsid w:val="14AA6C47"/>
    <w:rsid w:val="14AD74AF"/>
    <w:rsid w:val="14B81325"/>
    <w:rsid w:val="14BB5770"/>
    <w:rsid w:val="14CA4494"/>
    <w:rsid w:val="14DD13B5"/>
    <w:rsid w:val="14DF1102"/>
    <w:rsid w:val="14E74E80"/>
    <w:rsid w:val="14FB05D3"/>
    <w:rsid w:val="14FB1DB1"/>
    <w:rsid w:val="1507775C"/>
    <w:rsid w:val="15082EFA"/>
    <w:rsid w:val="15107A3E"/>
    <w:rsid w:val="15214D63"/>
    <w:rsid w:val="153E45AB"/>
    <w:rsid w:val="153E6FE7"/>
    <w:rsid w:val="15436E45"/>
    <w:rsid w:val="15535F3F"/>
    <w:rsid w:val="15597637"/>
    <w:rsid w:val="155C3CBE"/>
    <w:rsid w:val="15697093"/>
    <w:rsid w:val="15760076"/>
    <w:rsid w:val="157E5DA4"/>
    <w:rsid w:val="159F6FD6"/>
    <w:rsid w:val="15A5462A"/>
    <w:rsid w:val="15B01BBF"/>
    <w:rsid w:val="15EC3B3E"/>
    <w:rsid w:val="15F1786F"/>
    <w:rsid w:val="15F46C2A"/>
    <w:rsid w:val="15FD74B3"/>
    <w:rsid w:val="161101BF"/>
    <w:rsid w:val="16121567"/>
    <w:rsid w:val="16175528"/>
    <w:rsid w:val="162D4D4B"/>
    <w:rsid w:val="16343F81"/>
    <w:rsid w:val="163634D4"/>
    <w:rsid w:val="163948ED"/>
    <w:rsid w:val="164275F4"/>
    <w:rsid w:val="164717FA"/>
    <w:rsid w:val="1654148B"/>
    <w:rsid w:val="165710DF"/>
    <w:rsid w:val="16573B76"/>
    <w:rsid w:val="165B71D5"/>
    <w:rsid w:val="166869FF"/>
    <w:rsid w:val="16700A7A"/>
    <w:rsid w:val="16734728"/>
    <w:rsid w:val="167D1103"/>
    <w:rsid w:val="1683572D"/>
    <w:rsid w:val="169E0BEA"/>
    <w:rsid w:val="16AF7EFC"/>
    <w:rsid w:val="16DD2BAC"/>
    <w:rsid w:val="16F70EB5"/>
    <w:rsid w:val="16FE2B67"/>
    <w:rsid w:val="17197085"/>
    <w:rsid w:val="1720502B"/>
    <w:rsid w:val="172460AC"/>
    <w:rsid w:val="172B1987"/>
    <w:rsid w:val="172D0D7B"/>
    <w:rsid w:val="173054B2"/>
    <w:rsid w:val="17424EAD"/>
    <w:rsid w:val="174C1699"/>
    <w:rsid w:val="17544559"/>
    <w:rsid w:val="175E7E76"/>
    <w:rsid w:val="1763479D"/>
    <w:rsid w:val="176F5AF8"/>
    <w:rsid w:val="178667F0"/>
    <w:rsid w:val="178A4C4F"/>
    <w:rsid w:val="17942AA9"/>
    <w:rsid w:val="17987255"/>
    <w:rsid w:val="179928AA"/>
    <w:rsid w:val="17A739C7"/>
    <w:rsid w:val="17C212EB"/>
    <w:rsid w:val="17C42121"/>
    <w:rsid w:val="17D66D1D"/>
    <w:rsid w:val="17D82A95"/>
    <w:rsid w:val="17D86805"/>
    <w:rsid w:val="17FB6C91"/>
    <w:rsid w:val="18053F1E"/>
    <w:rsid w:val="18085749"/>
    <w:rsid w:val="180B6D06"/>
    <w:rsid w:val="181A3262"/>
    <w:rsid w:val="181C3FF8"/>
    <w:rsid w:val="18365CFA"/>
    <w:rsid w:val="184114A1"/>
    <w:rsid w:val="18425C49"/>
    <w:rsid w:val="186969E3"/>
    <w:rsid w:val="188C7694"/>
    <w:rsid w:val="18BE3F0D"/>
    <w:rsid w:val="18C140E3"/>
    <w:rsid w:val="18CD6371"/>
    <w:rsid w:val="18DA0A8E"/>
    <w:rsid w:val="18DC03A2"/>
    <w:rsid w:val="18E11EA5"/>
    <w:rsid w:val="18FA4C8D"/>
    <w:rsid w:val="19054750"/>
    <w:rsid w:val="19083037"/>
    <w:rsid w:val="19092828"/>
    <w:rsid w:val="19103908"/>
    <w:rsid w:val="19134D2F"/>
    <w:rsid w:val="19330C39"/>
    <w:rsid w:val="1933462F"/>
    <w:rsid w:val="19390D64"/>
    <w:rsid w:val="19554C37"/>
    <w:rsid w:val="19566DB3"/>
    <w:rsid w:val="196279A1"/>
    <w:rsid w:val="198040A4"/>
    <w:rsid w:val="198C37FE"/>
    <w:rsid w:val="19A941C1"/>
    <w:rsid w:val="19AE5ACF"/>
    <w:rsid w:val="19AF5A77"/>
    <w:rsid w:val="19B3071D"/>
    <w:rsid w:val="19B675DA"/>
    <w:rsid w:val="19B84892"/>
    <w:rsid w:val="19C57049"/>
    <w:rsid w:val="19C637E5"/>
    <w:rsid w:val="19C721FB"/>
    <w:rsid w:val="19CE5CD8"/>
    <w:rsid w:val="19F02EFF"/>
    <w:rsid w:val="1A052165"/>
    <w:rsid w:val="1A063EF5"/>
    <w:rsid w:val="1A0F3AD5"/>
    <w:rsid w:val="1A0F6516"/>
    <w:rsid w:val="1A0F7374"/>
    <w:rsid w:val="1A142D27"/>
    <w:rsid w:val="1A1816AF"/>
    <w:rsid w:val="1A231053"/>
    <w:rsid w:val="1A302494"/>
    <w:rsid w:val="1A330E88"/>
    <w:rsid w:val="1A407304"/>
    <w:rsid w:val="1A60672B"/>
    <w:rsid w:val="1A630F50"/>
    <w:rsid w:val="1A6732FB"/>
    <w:rsid w:val="1A7929A3"/>
    <w:rsid w:val="1A7B4669"/>
    <w:rsid w:val="1A870B38"/>
    <w:rsid w:val="1A8C5DB8"/>
    <w:rsid w:val="1A8C6CF6"/>
    <w:rsid w:val="1A916D88"/>
    <w:rsid w:val="1A9417D9"/>
    <w:rsid w:val="1A9C31B9"/>
    <w:rsid w:val="1AA572B8"/>
    <w:rsid w:val="1AA70EB7"/>
    <w:rsid w:val="1AAA4949"/>
    <w:rsid w:val="1AB31D2F"/>
    <w:rsid w:val="1AC00AAF"/>
    <w:rsid w:val="1ACE55DA"/>
    <w:rsid w:val="1ACE6054"/>
    <w:rsid w:val="1ACE6D27"/>
    <w:rsid w:val="1AE0038B"/>
    <w:rsid w:val="1B1942FF"/>
    <w:rsid w:val="1B403FA5"/>
    <w:rsid w:val="1B450A9E"/>
    <w:rsid w:val="1B481CDF"/>
    <w:rsid w:val="1B4B17D0"/>
    <w:rsid w:val="1B524326"/>
    <w:rsid w:val="1B55168B"/>
    <w:rsid w:val="1B63458F"/>
    <w:rsid w:val="1B645069"/>
    <w:rsid w:val="1B7D1BE7"/>
    <w:rsid w:val="1B7D1D15"/>
    <w:rsid w:val="1B8637EA"/>
    <w:rsid w:val="1B966EEF"/>
    <w:rsid w:val="1BDD1B28"/>
    <w:rsid w:val="1BE57F51"/>
    <w:rsid w:val="1BE96189"/>
    <w:rsid w:val="1C022610"/>
    <w:rsid w:val="1C037CCC"/>
    <w:rsid w:val="1C085913"/>
    <w:rsid w:val="1C0876C1"/>
    <w:rsid w:val="1C2F4A48"/>
    <w:rsid w:val="1C37598E"/>
    <w:rsid w:val="1C400DCC"/>
    <w:rsid w:val="1C4A3D51"/>
    <w:rsid w:val="1C550B58"/>
    <w:rsid w:val="1C6062B5"/>
    <w:rsid w:val="1C656B00"/>
    <w:rsid w:val="1C657709"/>
    <w:rsid w:val="1C6D522B"/>
    <w:rsid w:val="1C703A01"/>
    <w:rsid w:val="1C762201"/>
    <w:rsid w:val="1C87757C"/>
    <w:rsid w:val="1C911F05"/>
    <w:rsid w:val="1C9232F2"/>
    <w:rsid w:val="1C943E77"/>
    <w:rsid w:val="1C993860"/>
    <w:rsid w:val="1CA06DAD"/>
    <w:rsid w:val="1CB517E1"/>
    <w:rsid w:val="1CBF5FD1"/>
    <w:rsid w:val="1CC07FCD"/>
    <w:rsid w:val="1CCD060E"/>
    <w:rsid w:val="1CD4109A"/>
    <w:rsid w:val="1CDE3631"/>
    <w:rsid w:val="1CE814D1"/>
    <w:rsid w:val="1CFE11B3"/>
    <w:rsid w:val="1D00167E"/>
    <w:rsid w:val="1D01132A"/>
    <w:rsid w:val="1D022EEB"/>
    <w:rsid w:val="1D2C5B34"/>
    <w:rsid w:val="1D3444B7"/>
    <w:rsid w:val="1D3A1AFC"/>
    <w:rsid w:val="1D3F2887"/>
    <w:rsid w:val="1D413DD6"/>
    <w:rsid w:val="1D442082"/>
    <w:rsid w:val="1D494085"/>
    <w:rsid w:val="1D6104E9"/>
    <w:rsid w:val="1D6D5E73"/>
    <w:rsid w:val="1D6E2EA0"/>
    <w:rsid w:val="1D721295"/>
    <w:rsid w:val="1D7C0366"/>
    <w:rsid w:val="1D8C44DA"/>
    <w:rsid w:val="1D90430C"/>
    <w:rsid w:val="1DA228F6"/>
    <w:rsid w:val="1DA26C67"/>
    <w:rsid w:val="1DB571C9"/>
    <w:rsid w:val="1DBF6F58"/>
    <w:rsid w:val="1DFC5003"/>
    <w:rsid w:val="1E2527AC"/>
    <w:rsid w:val="1E2A3F9F"/>
    <w:rsid w:val="1E65546D"/>
    <w:rsid w:val="1E7B6900"/>
    <w:rsid w:val="1E933E22"/>
    <w:rsid w:val="1E9A51BB"/>
    <w:rsid w:val="1EB60A31"/>
    <w:rsid w:val="1EC6457D"/>
    <w:rsid w:val="1EC7170B"/>
    <w:rsid w:val="1EC7534C"/>
    <w:rsid w:val="1ECD7160"/>
    <w:rsid w:val="1ED34F83"/>
    <w:rsid w:val="1ED641E3"/>
    <w:rsid w:val="1EED4935"/>
    <w:rsid w:val="1EF15FC6"/>
    <w:rsid w:val="1F196F16"/>
    <w:rsid w:val="1F1F544D"/>
    <w:rsid w:val="1F294330"/>
    <w:rsid w:val="1F2A3EE6"/>
    <w:rsid w:val="1F5164BE"/>
    <w:rsid w:val="1F530AFF"/>
    <w:rsid w:val="1F550636"/>
    <w:rsid w:val="1F6725BD"/>
    <w:rsid w:val="1F6F0182"/>
    <w:rsid w:val="1F751014"/>
    <w:rsid w:val="1F7A16FF"/>
    <w:rsid w:val="1F7C0996"/>
    <w:rsid w:val="1F841E94"/>
    <w:rsid w:val="1F86410F"/>
    <w:rsid w:val="1F987D78"/>
    <w:rsid w:val="1FAD0B55"/>
    <w:rsid w:val="1FB57B5F"/>
    <w:rsid w:val="1FBA786C"/>
    <w:rsid w:val="1FC21213"/>
    <w:rsid w:val="1FC55FF4"/>
    <w:rsid w:val="1FDF7221"/>
    <w:rsid w:val="1FE07DD2"/>
    <w:rsid w:val="1FF72B1D"/>
    <w:rsid w:val="2000702C"/>
    <w:rsid w:val="20170100"/>
    <w:rsid w:val="201952D2"/>
    <w:rsid w:val="2020109E"/>
    <w:rsid w:val="20220096"/>
    <w:rsid w:val="202816B6"/>
    <w:rsid w:val="20352DB6"/>
    <w:rsid w:val="204E725A"/>
    <w:rsid w:val="205050F3"/>
    <w:rsid w:val="20665891"/>
    <w:rsid w:val="20823312"/>
    <w:rsid w:val="208241B4"/>
    <w:rsid w:val="208F5999"/>
    <w:rsid w:val="20B05494"/>
    <w:rsid w:val="20BD4F1E"/>
    <w:rsid w:val="20D109C9"/>
    <w:rsid w:val="20E15D40"/>
    <w:rsid w:val="20EE5770"/>
    <w:rsid w:val="20FD17BE"/>
    <w:rsid w:val="2107261C"/>
    <w:rsid w:val="21147FEE"/>
    <w:rsid w:val="2132760F"/>
    <w:rsid w:val="213F7E47"/>
    <w:rsid w:val="21592FEC"/>
    <w:rsid w:val="215B2DFE"/>
    <w:rsid w:val="215C5CD9"/>
    <w:rsid w:val="215F2E6D"/>
    <w:rsid w:val="218B2E3C"/>
    <w:rsid w:val="219E13DD"/>
    <w:rsid w:val="21B5456C"/>
    <w:rsid w:val="21C0289A"/>
    <w:rsid w:val="21C314C7"/>
    <w:rsid w:val="21CB366A"/>
    <w:rsid w:val="21E53DD4"/>
    <w:rsid w:val="21F7724F"/>
    <w:rsid w:val="21FE67C3"/>
    <w:rsid w:val="21FF567A"/>
    <w:rsid w:val="220019CB"/>
    <w:rsid w:val="22080E1D"/>
    <w:rsid w:val="222E4A4B"/>
    <w:rsid w:val="224564ED"/>
    <w:rsid w:val="225B1C1A"/>
    <w:rsid w:val="22655D1C"/>
    <w:rsid w:val="227A5579"/>
    <w:rsid w:val="227B3EC3"/>
    <w:rsid w:val="22AC6E9D"/>
    <w:rsid w:val="22AF6B28"/>
    <w:rsid w:val="22BF1959"/>
    <w:rsid w:val="22C73E32"/>
    <w:rsid w:val="22FE3A70"/>
    <w:rsid w:val="23007343"/>
    <w:rsid w:val="230A1D1E"/>
    <w:rsid w:val="230F3D0A"/>
    <w:rsid w:val="232E3EB1"/>
    <w:rsid w:val="23341448"/>
    <w:rsid w:val="23385650"/>
    <w:rsid w:val="23425BAE"/>
    <w:rsid w:val="23517B9F"/>
    <w:rsid w:val="23531B69"/>
    <w:rsid w:val="235C6C70"/>
    <w:rsid w:val="237F04EF"/>
    <w:rsid w:val="23841437"/>
    <w:rsid w:val="238A3CA3"/>
    <w:rsid w:val="23AA4BFB"/>
    <w:rsid w:val="23AF4708"/>
    <w:rsid w:val="23B1063E"/>
    <w:rsid w:val="23C16A9A"/>
    <w:rsid w:val="23C465C3"/>
    <w:rsid w:val="23E66003"/>
    <w:rsid w:val="23F80076"/>
    <w:rsid w:val="23FC534D"/>
    <w:rsid w:val="23FE2FB7"/>
    <w:rsid w:val="23FE3AF7"/>
    <w:rsid w:val="241B7142"/>
    <w:rsid w:val="24452007"/>
    <w:rsid w:val="244802C7"/>
    <w:rsid w:val="244C0B39"/>
    <w:rsid w:val="245A32E7"/>
    <w:rsid w:val="246102B6"/>
    <w:rsid w:val="24635935"/>
    <w:rsid w:val="24660E6A"/>
    <w:rsid w:val="24665559"/>
    <w:rsid w:val="24687E03"/>
    <w:rsid w:val="24691825"/>
    <w:rsid w:val="2479115B"/>
    <w:rsid w:val="248E0BEE"/>
    <w:rsid w:val="249222CA"/>
    <w:rsid w:val="249B49DE"/>
    <w:rsid w:val="24B056E4"/>
    <w:rsid w:val="24BE60D3"/>
    <w:rsid w:val="24CC572F"/>
    <w:rsid w:val="24CF65FC"/>
    <w:rsid w:val="24D258A5"/>
    <w:rsid w:val="24DA6A74"/>
    <w:rsid w:val="24DB4BCD"/>
    <w:rsid w:val="24F602A0"/>
    <w:rsid w:val="250025A0"/>
    <w:rsid w:val="25296C9F"/>
    <w:rsid w:val="25401D76"/>
    <w:rsid w:val="2544236B"/>
    <w:rsid w:val="25453733"/>
    <w:rsid w:val="25473008"/>
    <w:rsid w:val="256C3562"/>
    <w:rsid w:val="257F6C45"/>
    <w:rsid w:val="25882662"/>
    <w:rsid w:val="258C5B68"/>
    <w:rsid w:val="258C736F"/>
    <w:rsid w:val="25977271"/>
    <w:rsid w:val="259B2D68"/>
    <w:rsid w:val="259E7D45"/>
    <w:rsid w:val="25A6077B"/>
    <w:rsid w:val="25A941CC"/>
    <w:rsid w:val="25A97E1E"/>
    <w:rsid w:val="25B40CD0"/>
    <w:rsid w:val="25BF4424"/>
    <w:rsid w:val="25C17AFA"/>
    <w:rsid w:val="25C251DB"/>
    <w:rsid w:val="25E00E0C"/>
    <w:rsid w:val="25EF379B"/>
    <w:rsid w:val="25FC2044"/>
    <w:rsid w:val="260C11C1"/>
    <w:rsid w:val="261049C1"/>
    <w:rsid w:val="261E645E"/>
    <w:rsid w:val="26383109"/>
    <w:rsid w:val="264043A1"/>
    <w:rsid w:val="2641214D"/>
    <w:rsid w:val="264E7E9A"/>
    <w:rsid w:val="26597FFC"/>
    <w:rsid w:val="26697AAB"/>
    <w:rsid w:val="266D2F42"/>
    <w:rsid w:val="2673065B"/>
    <w:rsid w:val="26746071"/>
    <w:rsid w:val="267839D3"/>
    <w:rsid w:val="26802C75"/>
    <w:rsid w:val="268423E1"/>
    <w:rsid w:val="26887D7C"/>
    <w:rsid w:val="26890627"/>
    <w:rsid w:val="26920BFA"/>
    <w:rsid w:val="26937CAB"/>
    <w:rsid w:val="26A43060"/>
    <w:rsid w:val="26BB1EFF"/>
    <w:rsid w:val="26BB2001"/>
    <w:rsid w:val="26C467F8"/>
    <w:rsid w:val="26E35358"/>
    <w:rsid w:val="26ED4EA5"/>
    <w:rsid w:val="270E00FE"/>
    <w:rsid w:val="270E298C"/>
    <w:rsid w:val="270E29F5"/>
    <w:rsid w:val="271512D2"/>
    <w:rsid w:val="272A0E33"/>
    <w:rsid w:val="272A2D2F"/>
    <w:rsid w:val="274020AE"/>
    <w:rsid w:val="27446B6F"/>
    <w:rsid w:val="274F752C"/>
    <w:rsid w:val="27520933"/>
    <w:rsid w:val="27584657"/>
    <w:rsid w:val="275E5A93"/>
    <w:rsid w:val="27736226"/>
    <w:rsid w:val="27755DA7"/>
    <w:rsid w:val="277C7F9A"/>
    <w:rsid w:val="279D2924"/>
    <w:rsid w:val="27A52E1A"/>
    <w:rsid w:val="27AC7A9A"/>
    <w:rsid w:val="27BF157B"/>
    <w:rsid w:val="27BF60E1"/>
    <w:rsid w:val="27C53958"/>
    <w:rsid w:val="27D36D37"/>
    <w:rsid w:val="27DA4B73"/>
    <w:rsid w:val="27E61F25"/>
    <w:rsid w:val="27EC31BB"/>
    <w:rsid w:val="27ED2CBD"/>
    <w:rsid w:val="27F63DA6"/>
    <w:rsid w:val="27FA5CB6"/>
    <w:rsid w:val="280D34EA"/>
    <w:rsid w:val="281466B1"/>
    <w:rsid w:val="281713B7"/>
    <w:rsid w:val="281824A7"/>
    <w:rsid w:val="28312BBF"/>
    <w:rsid w:val="283B7736"/>
    <w:rsid w:val="2852403A"/>
    <w:rsid w:val="285F673E"/>
    <w:rsid w:val="28644CCA"/>
    <w:rsid w:val="28687E65"/>
    <w:rsid w:val="28732D83"/>
    <w:rsid w:val="288F6949"/>
    <w:rsid w:val="28911AF2"/>
    <w:rsid w:val="289151CA"/>
    <w:rsid w:val="28A10C81"/>
    <w:rsid w:val="28A2680F"/>
    <w:rsid w:val="28AB1AFF"/>
    <w:rsid w:val="28B63487"/>
    <w:rsid w:val="28C623C8"/>
    <w:rsid w:val="28DF17A9"/>
    <w:rsid w:val="28E92551"/>
    <w:rsid w:val="28EB31BC"/>
    <w:rsid w:val="28EB583C"/>
    <w:rsid w:val="28EC2844"/>
    <w:rsid w:val="28F402DA"/>
    <w:rsid w:val="28FC78BE"/>
    <w:rsid w:val="29000A40"/>
    <w:rsid w:val="290F29AF"/>
    <w:rsid w:val="292D0766"/>
    <w:rsid w:val="293634F4"/>
    <w:rsid w:val="29600B3C"/>
    <w:rsid w:val="29606D8E"/>
    <w:rsid w:val="29671ECA"/>
    <w:rsid w:val="29770361"/>
    <w:rsid w:val="2985201E"/>
    <w:rsid w:val="29A730F7"/>
    <w:rsid w:val="29C55899"/>
    <w:rsid w:val="29D3130E"/>
    <w:rsid w:val="29F2147C"/>
    <w:rsid w:val="2A0C4A40"/>
    <w:rsid w:val="2A0D3DED"/>
    <w:rsid w:val="2A104310"/>
    <w:rsid w:val="2A133E00"/>
    <w:rsid w:val="2A134AF4"/>
    <w:rsid w:val="2A255C2B"/>
    <w:rsid w:val="2A2B7BC9"/>
    <w:rsid w:val="2A3A5DF9"/>
    <w:rsid w:val="2A4926C2"/>
    <w:rsid w:val="2A4B107A"/>
    <w:rsid w:val="2A4D2BFD"/>
    <w:rsid w:val="2A530EDF"/>
    <w:rsid w:val="2A574428"/>
    <w:rsid w:val="2A5F6992"/>
    <w:rsid w:val="2A781EB5"/>
    <w:rsid w:val="2A7949E3"/>
    <w:rsid w:val="2A7C7BF7"/>
    <w:rsid w:val="2A80647C"/>
    <w:rsid w:val="2A814AEA"/>
    <w:rsid w:val="2A8E62B6"/>
    <w:rsid w:val="2A9572CC"/>
    <w:rsid w:val="2AA9206F"/>
    <w:rsid w:val="2AB5193F"/>
    <w:rsid w:val="2AD81233"/>
    <w:rsid w:val="2AE63EFE"/>
    <w:rsid w:val="2B053749"/>
    <w:rsid w:val="2B195446"/>
    <w:rsid w:val="2B1F5758"/>
    <w:rsid w:val="2B2E227F"/>
    <w:rsid w:val="2B2F07C6"/>
    <w:rsid w:val="2B3404E2"/>
    <w:rsid w:val="2B363CF4"/>
    <w:rsid w:val="2B3A7305"/>
    <w:rsid w:val="2B425FD0"/>
    <w:rsid w:val="2B4268A6"/>
    <w:rsid w:val="2B487ADA"/>
    <w:rsid w:val="2B536BAA"/>
    <w:rsid w:val="2B8C79C6"/>
    <w:rsid w:val="2B9B40AD"/>
    <w:rsid w:val="2B9B4F58"/>
    <w:rsid w:val="2BA3696C"/>
    <w:rsid w:val="2BAA0794"/>
    <w:rsid w:val="2BAD4125"/>
    <w:rsid w:val="2BB138D1"/>
    <w:rsid w:val="2BB67A51"/>
    <w:rsid w:val="2BB769EE"/>
    <w:rsid w:val="2BB8130D"/>
    <w:rsid w:val="2BBE7D9C"/>
    <w:rsid w:val="2BC058C2"/>
    <w:rsid w:val="2BC1223D"/>
    <w:rsid w:val="2BC40014"/>
    <w:rsid w:val="2BC51B34"/>
    <w:rsid w:val="2BDE3F9A"/>
    <w:rsid w:val="2BE07D12"/>
    <w:rsid w:val="2BF95140"/>
    <w:rsid w:val="2BFD7396"/>
    <w:rsid w:val="2C063C1D"/>
    <w:rsid w:val="2C0B194E"/>
    <w:rsid w:val="2C0F6133"/>
    <w:rsid w:val="2C1A4F62"/>
    <w:rsid w:val="2C3447BE"/>
    <w:rsid w:val="2C3B1B1B"/>
    <w:rsid w:val="2C3C07B5"/>
    <w:rsid w:val="2C3C1CCE"/>
    <w:rsid w:val="2C3D3C75"/>
    <w:rsid w:val="2C4B420E"/>
    <w:rsid w:val="2C56006A"/>
    <w:rsid w:val="2C5F50DB"/>
    <w:rsid w:val="2C660165"/>
    <w:rsid w:val="2C6619D7"/>
    <w:rsid w:val="2C6A0BA3"/>
    <w:rsid w:val="2C6E17C2"/>
    <w:rsid w:val="2C8A76F4"/>
    <w:rsid w:val="2C931BC6"/>
    <w:rsid w:val="2CA45E14"/>
    <w:rsid w:val="2CB43679"/>
    <w:rsid w:val="2CB62CA6"/>
    <w:rsid w:val="2CD40261"/>
    <w:rsid w:val="2CEE34EF"/>
    <w:rsid w:val="2CF605F7"/>
    <w:rsid w:val="2D016FE9"/>
    <w:rsid w:val="2D14362B"/>
    <w:rsid w:val="2D2E304F"/>
    <w:rsid w:val="2D3C07FE"/>
    <w:rsid w:val="2D5756FC"/>
    <w:rsid w:val="2D5D5591"/>
    <w:rsid w:val="2D74743A"/>
    <w:rsid w:val="2D7C11D4"/>
    <w:rsid w:val="2D7F4766"/>
    <w:rsid w:val="2D85466B"/>
    <w:rsid w:val="2D8D3A62"/>
    <w:rsid w:val="2DAF3E40"/>
    <w:rsid w:val="2DBE7F60"/>
    <w:rsid w:val="2DF6381D"/>
    <w:rsid w:val="2DF6788C"/>
    <w:rsid w:val="2E0D1588"/>
    <w:rsid w:val="2E2A5CD6"/>
    <w:rsid w:val="2E3944B7"/>
    <w:rsid w:val="2E4749F8"/>
    <w:rsid w:val="2E4C1B78"/>
    <w:rsid w:val="2E572103"/>
    <w:rsid w:val="2E73313B"/>
    <w:rsid w:val="2E866E5E"/>
    <w:rsid w:val="2E9077CD"/>
    <w:rsid w:val="2EA916B2"/>
    <w:rsid w:val="2EB46A04"/>
    <w:rsid w:val="2EB84F76"/>
    <w:rsid w:val="2EC62DA5"/>
    <w:rsid w:val="2ECB7077"/>
    <w:rsid w:val="2EED318E"/>
    <w:rsid w:val="2EFE3F3B"/>
    <w:rsid w:val="2F0C331C"/>
    <w:rsid w:val="2F0F1794"/>
    <w:rsid w:val="2F176141"/>
    <w:rsid w:val="2F1A0856"/>
    <w:rsid w:val="2F2B5B05"/>
    <w:rsid w:val="2F34284F"/>
    <w:rsid w:val="2F475C7E"/>
    <w:rsid w:val="2F486024"/>
    <w:rsid w:val="2F523B34"/>
    <w:rsid w:val="2F5E78CC"/>
    <w:rsid w:val="2F681310"/>
    <w:rsid w:val="2F6C283B"/>
    <w:rsid w:val="2F743B89"/>
    <w:rsid w:val="2F7E2877"/>
    <w:rsid w:val="2F8567D8"/>
    <w:rsid w:val="2F8B5040"/>
    <w:rsid w:val="2F9107C4"/>
    <w:rsid w:val="2F961B57"/>
    <w:rsid w:val="2FDC6A42"/>
    <w:rsid w:val="2FE65B09"/>
    <w:rsid w:val="2FFF53A8"/>
    <w:rsid w:val="30047098"/>
    <w:rsid w:val="30077F63"/>
    <w:rsid w:val="300A597A"/>
    <w:rsid w:val="30115CE5"/>
    <w:rsid w:val="30135C1F"/>
    <w:rsid w:val="30191760"/>
    <w:rsid w:val="3028092A"/>
    <w:rsid w:val="302F54E7"/>
    <w:rsid w:val="304863A9"/>
    <w:rsid w:val="306C4DF1"/>
    <w:rsid w:val="30726790"/>
    <w:rsid w:val="30801AC4"/>
    <w:rsid w:val="30823D65"/>
    <w:rsid w:val="30831C53"/>
    <w:rsid w:val="308E438B"/>
    <w:rsid w:val="30A43A04"/>
    <w:rsid w:val="30C87FB8"/>
    <w:rsid w:val="30CB1DAF"/>
    <w:rsid w:val="30E90E2B"/>
    <w:rsid w:val="30ED02EA"/>
    <w:rsid w:val="30FF267A"/>
    <w:rsid w:val="31093987"/>
    <w:rsid w:val="310A2A14"/>
    <w:rsid w:val="310F59F0"/>
    <w:rsid w:val="31395BA8"/>
    <w:rsid w:val="3141666D"/>
    <w:rsid w:val="31480833"/>
    <w:rsid w:val="314B14BF"/>
    <w:rsid w:val="3158219E"/>
    <w:rsid w:val="316D537E"/>
    <w:rsid w:val="31716348"/>
    <w:rsid w:val="317355F2"/>
    <w:rsid w:val="3185517F"/>
    <w:rsid w:val="3185793C"/>
    <w:rsid w:val="319475D5"/>
    <w:rsid w:val="31975317"/>
    <w:rsid w:val="31A87524"/>
    <w:rsid w:val="31B06C89"/>
    <w:rsid w:val="31B91778"/>
    <w:rsid w:val="31C2569E"/>
    <w:rsid w:val="31C96BD0"/>
    <w:rsid w:val="31D04385"/>
    <w:rsid w:val="31D9377A"/>
    <w:rsid w:val="31E15891"/>
    <w:rsid w:val="31F043F4"/>
    <w:rsid w:val="32170EE1"/>
    <w:rsid w:val="325066A8"/>
    <w:rsid w:val="32563FE3"/>
    <w:rsid w:val="325D3410"/>
    <w:rsid w:val="3260226B"/>
    <w:rsid w:val="327652E9"/>
    <w:rsid w:val="327A5FF1"/>
    <w:rsid w:val="3293788C"/>
    <w:rsid w:val="32A55CC0"/>
    <w:rsid w:val="32A937D2"/>
    <w:rsid w:val="32C95971"/>
    <w:rsid w:val="32CF5928"/>
    <w:rsid w:val="32D97115"/>
    <w:rsid w:val="32E41009"/>
    <w:rsid w:val="32E9078F"/>
    <w:rsid w:val="32ED34FF"/>
    <w:rsid w:val="330856D0"/>
    <w:rsid w:val="332B3F69"/>
    <w:rsid w:val="33316646"/>
    <w:rsid w:val="333A06E2"/>
    <w:rsid w:val="33462B8C"/>
    <w:rsid w:val="33491C13"/>
    <w:rsid w:val="335E45B2"/>
    <w:rsid w:val="33680D19"/>
    <w:rsid w:val="33691E57"/>
    <w:rsid w:val="336E025D"/>
    <w:rsid w:val="33735D99"/>
    <w:rsid w:val="33736E76"/>
    <w:rsid w:val="337570A4"/>
    <w:rsid w:val="33833CFC"/>
    <w:rsid w:val="33890C8F"/>
    <w:rsid w:val="33A269EC"/>
    <w:rsid w:val="33A856B1"/>
    <w:rsid w:val="33A930DF"/>
    <w:rsid w:val="33AB2922"/>
    <w:rsid w:val="33B73314"/>
    <w:rsid w:val="33C50B9E"/>
    <w:rsid w:val="33D30EC6"/>
    <w:rsid w:val="33D867E1"/>
    <w:rsid w:val="33D976B3"/>
    <w:rsid w:val="33DB2EFB"/>
    <w:rsid w:val="33DC6CF8"/>
    <w:rsid w:val="33EE36D1"/>
    <w:rsid w:val="33F54490"/>
    <w:rsid w:val="33F85833"/>
    <w:rsid w:val="33F94458"/>
    <w:rsid w:val="340B1EAD"/>
    <w:rsid w:val="34111989"/>
    <w:rsid w:val="341266A4"/>
    <w:rsid w:val="3429350C"/>
    <w:rsid w:val="343C76C2"/>
    <w:rsid w:val="343D0166"/>
    <w:rsid w:val="343D6C24"/>
    <w:rsid w:val="345873A9"/>
    <w:rsid w:val="347C5D20"/>
    <w:rsid w:val="348C4EDB"/>
    <w:rsid w:val="34997F68"/>
    <w:rsid w:val="34AF7CC9"/>
    <w:rsid w:val="34B14942"/>
    <w:rsid w:val="34DD74E5"/>
    <w:rsid w:val="34E526B4"/>
    <w:rsid w:val="34F03DC0"/>
    <w:rsid w:val="34FE7262"/>
    <w:rsid w:val="352407FC"/>
    <w:rsid w:val="352612DF"/>
    <w:rsid w:val="35284201"/>
    <w:rsid w:val="35322B1F"/>
    <w:rsid w:val="3535498A"/>
    <w:rsid w:val="35471E10"/>
    <w:rsid w:val="354F3660"/>
    <w:rsid w:val="355004C3"/>
    <w:rsid w:val="3556146D"/>
    <w:rsid w:val="355724F0"/>
    <w:rsid w:val="356B5D07"/>
    <w:rsid w:val="35810326"/>
    <w:rsid w:val="358C5E8C"/>
    <w:rsid w:val="358D7C9B"/>
    <w:rsid w:val="358E2186"/>
    <w:rsid w:val="35AA4C6A"/>
    <w:rsid w:val="35B90B5D"/>
    <w:rsid w:val="35C81F43"/>
    <w:rsid w:val="35CC1726"/>
    <w:rsid w:val="35DE239E"/>
    <w:rsid w:val="35E06512"/>
    <w:rsid w:val="35E33F92"/>
    <w:rsid w:val="36010FB1"/>
    <w:rsid w:val="360212D1"/>
    <w:rsid w:val="360C7B72"/>
    <w:rsid w:val="360E2480"/>
    <w:rsid w:val="361327DB"/>
    <w:rsid w:val="361E1B63"/>
    <w:rsid w:val="361F1CFE"/>
    <w:rsid w:val="36287986"/>
    <w:rsid w:val="36371201"/>
    <w:rsid w:val="363720E3"/>
    <w:rsid w:val="3639711B"/>
    <w:rsid w:val="363E765D"/>
    <w:rsid w:val="36592830"/>
    <w:rsid w:val="36632356"/>
    <w:rsid w:val="367409D2"/>
    <w:rsid w:val="367B56C5"/>
    <w:rsid w:val="367C5173"/>
    <w:rsid w:val="36915D46"/>
    <w:rsid w:val="36B81FB7"/>
    <w:rsid w:val="36CA31B0"/>
    <w:rsid w:val="36D20797"/>
    <w:rsid w:val="36E65B3A"/>
    <w:rsid w:val="36FF3742"/>
    <w:rsid w:val="370346A6"/>
    <w:rsid w:val="37113475"/>
    <w:rsid w:val="37252E94"/>
    <w:rsid w:val="37296474"/>
    <w:rsid w:val="373227C5"/>
    <w:rsid w:val="37405833"/>
    <w:rsid w:val="374101FF"/>
    <w:rsid w:val="375869AC"/>
    <w:rsid w:val="375B253A"/>
    <w:rsid w:val="37666B6B"/>
    <w:rsid w:val="37675674"/>
    <w:rsid w:val="376B1978"/>
    <w:rsid w:val="37940CA8"/>
    <w:rsid w:val="37D848CF"/>
    <w:rsid w:val="37DA41AF"/>
    <w:rsid w:val="37DB157C"/>
    <w:rsid w:val="37DB3C7D"/>
    <w:rsid w:val="37EE7D30"/>
    <w:rsid w:val="37F62976"/>
    <w:rsid w:val="37F77F19"/>
    <w:rsid w:val="38034F62"/>
    <w:rsid w:val="38042FDA"/>
    <w:rsid w:val="381C3F20"/>
    <w:rsid w:val="3822692C"/>
    <w:rsid w:val="38343F2A"/>
    <w:rsid w:val="38490F9C"/>
    <w:rsid w:val="384C1631"/>
    <w:rsid w:val="38542754"/>
    <w:rsid w:val="386C03A0"/>
    <w:rsid w:val="386D6DD1"/>
    <w:rsid w:val="38850AD8"/>
    <w:rsid w:val="38B10FD7"/>
    <w:rsid w:val="38B2326B"/>
    <w:rsid w:val="38BD498D"/>
    <w:rsid w:val="38C2711D"/>
    <w:rsid w:val="38D81B11"/>
    <w:rsid w:val="38ED2653"/>
    <w:rsid w:val="38FC71A8"/>
    <w:rsid w:val="38FD1F03"/>
    <w:rsid w:val="39020983"/>
    <w:rsid w:val="39037F6C"/>
    <w:rsid w:val="39214610"/>
    <w:rsid w:val="39317DFF"/>
    <w:rsid w:val="39464964"/>
    <w:rsid w:val="395224D9"/>
    <w:rsid w:val="39535FC7"/>
    <w:rsid w:val="395601FC"/>
    <w:rsid w:val="397B4E62"/>
    <w:rsid w:val="39972B1A"/>
    <w:rsid w:val="399A1410"/>
    <w:rsid w:val="39C47D94"/>
    <w:rsid w:val="39CD1539"/>
    <w:rsid w:val="39CD5D32"/>
    <w:rsid w:val="39DA1DFA"/>
    <w:rsid w:val="39DC71EB"/>
    <w:rsid w:val="39DD5D2E"/>
    <w:rsid w:val="39E01A69"/>
    <w:rsid w:val="39E657D7"/>
    <w:rsid w:val="3A045F91"/>
    <w:rsid w:val="3A076679"/>
    <w:rsid w:val="3A0A0953"/>
    <w:rsid w:val="3A0B68A2"/>
    <w:rsid w:val="3A211C22"/>
    <w:rsid w:val="3A2C4127"/>
    <w:rsid w:val="3A383CAD"/>
    <w:rsid w:val="3A4F0AA8"/>
    <w:rsid w:val="3A543DA5"/>
    <w:rsid w:val="3A5576B6"/>
    <w:rsid w:val="3A682780"/>
    <w:rsid w:val="3A697EB7"/>
    <w:rsid w:val="3A7C154E"/>
    <w:rsid w:val="3A7F0311"/>
    <w:rsid w:val="3A845141"/>
    <w:rsid w:val="3A8538B6"/>
    <w:rsid w:val="3A884EF1"/>
    <w:rsid w:val="3A8C5141"/>
    <w:rsid w:val="3AA52853"/>
    <w:rsid w:val="3AA648FE"/>
    <w:rsid w:val="3AAA7D3D"/>
    <w:rsid w:val="3AD117FB"/>
    <w:rsid w:val="3AD4138A"/>
    <w:rsid w:val="3AD72904"/>
    <w:rsid w:val="3AD75A09"/>
    <w:rsid w:val="3ADC5AFD"/>
    <w:rsid w:val="3AE17BBC"/>
    <w:rsid w:val="3B007A89"/>
    <w:rsid w:val="3B0F5ABD"/>
    <w:rsid w:val="3B2F4F75"/>
    <w:rsid w:val="3B31477D"/>
    <w:rsid w:val="3B315914"/>
    <w:rsid w:val="3B422101"/>
    <w:rsid w:val="3B4715CB"/>
    <w:rsid w:val="3B5008D7"/>
    <w:rsid w:val="3B7D5180"/>
    <w:rsid w:val="3B7F15E2"/>
    <w:rsid w:val="3B8536A6"/>
    <w:rsid w:val="3B9F0C51"/>
    <w:rsid w:val="3BA00572"/>
    <w:rsid w:val="3BB1021B"/>
    <w:rsid w:val="3BE15B0C"/>
    <w:rsid w:val="3BF72A83"/>
    <w:rsid w:val="3C135790"/>
    <w:rsid w:val="3C1752F7"/>
    <w:rsid w:val="3C193171"/>
    <w:rsid w:val="3C1E3214"/>
    <w:rsid w:val="3C2528C6"/>
    <w:rsid w:val="3C371BD0"/>
    <w:rsid w:val="3C4F1FEA"/>
    <w:rsid w:val="3C5B6745"/>
    <w:rsid w:val="3C5E3DBD"/>
    <w:rsid w:val="3C683B38"/>
    <w:rsid w:val="3C686571"/>
    <w:rsid w:val="3C6F5E3B"/>
    <w:rsid w:val="3C83525B"/>
    <w:rsid w:val="3C87375A"/>
    <w:rsid w:val="3C88531F"/>
    <w:rsid w:val="3C8D7A42"/>
    <w:rsid w:val="3C8E189D"/>
    <w:rsid w:val="3CA22EFE"/>
    <w:rsid w:val="3CB8043D"/>
    <w:rsid w:val="3CB94BCA"/>
    <w:rsid w:val="3CC35212"/>
    <w:rsid w:val="3CC50225"/>
    <w:rsid w:val="3CD20A9C"/>
    <w:rsid w:val="3CD967E3"/>
    <w:rsid w:val="3CDE231E"/>
    <w:rsid w:val="3D245A63"/>
    <w:rsid w:val="3D254E4B"/>
    <w:rsid w:val="3D36346C"/>
    <w:rsid w:val="3D4269DA"/>
    <w:rsid w:val="3D430EA3"/>
    <w:rsid w:val="3D47560D"/>
    <w:rsid w:val="3D523BCD"/>
    <w:rsid w:val="3D645169"/>
    <w:rsid w:val="3D6933DE"/>
    <w:rsid w:val="3D7C3859"/>
    <w:rsid w:val="3D80607F"/>
    <w:rsid w:val="3D8F2120"/>
    <w:rsid w:val="3D8F30A0"/>
    <w:rsid w:val="3D990E61"/>
    <w:rsid w:val="3DA327E5"/>
    <w:rsid w:val="3DB01C7C"/>
    <w:rsid w:val="3DB334D8"/>
    <w:rsid w:val="3DBA1ADA"/>
    <w:rsid w:val="3DC355A6"/>
    <w:rsid w:val="3DC42D6E"/>
    <w:rsid w:val="3DD009EA"/>
    <w:rsid w:val="3DD05142"/>
    <w:rsid w:val="3DD122A2"/>
    <w:rsid w:val="3DD64752"/>
    <w:rsid w:val="3DD80DF7"/>
    <w:rsid w:val="3DE17E96"/>
    <w:rsid w:val="3DE26317"/>
    <w:rsid w:val="3DEB1B40"/>
    <w:rsid w:val="3DFC4E7F"/>
    <w:rsid w:val="3E097D00"/>
    <w:rsid w:val="3E2D1C0D"/>
    <w:rsid w:val="3E352B5B"/>
    <w:rsid w:val="3E3A2755"/>
    <w:rsid w:val="3E463101"/>
    <w:rsid w:val="3E5717D0"/>
    <w:rsid w:val="3E5E04B0"/>
    <w:rsid w:val="3E5F4189"/>
    <w:rsid w:val="3E6C1A3F"/>
    <w:rsid w:val="3E734A16"/>
    <w:rsid w:val="3E752133"/>
    <w:rsid w:val="3E7A5DA4"/>
    <w:rsid w:val="3E953235"/>
    <w:rsid w:val="3EAA3B18"/>
    <w:rsid w:val="3EAA555F"/>
    <w:rsid w:val="3EBD0BAE"/>
    <w:rsid w:val="3EC3774B"/>
    <w:rsid w:val="3ECC3927"/>
    <w:rsid w:val="3ECD2095"/>
    <w:rsid w:val="3EEF22EE"/>
    <w:rsid w:val="3EF02AD3"/>
    <w:rsid w:val="3F024C1A"/>
    <w:rsid w:val="3F0D0FA0"/>
    <w:rsid w:val="3F21052E"/>
    <w:rsid w:val="3F330C34"/>
    <w:rsid w:val="3F3917F4"/>
    <w:rsid w:val="3F397A0D"/>
    <w:rsid w:val="3F4A39C9"/>
    <w:rsid w:val="3F625E8E"/>
    <w:rsid w:val="3F6A673B"/>
    <w:rsid w:val="3F8C2A74"/>
    <w:rsid w:val="3FA70307"/>
    <w:rsid w:val="3FA7458E"/>
    <w:rsid w:val="3FB22390"/>
    <w:rsid w:val="3FCF1529"/>
    <w:rsid w:val="3FDD2A57"/>
    <w:rsid w:val="3FDF2363"/>
    <w:rsid w:val="3FE37E33"/>
    <w:rsid w:val="3FF027C2"/>
    <w:rsid w:val="3FF55C7D"/>
    <w:rsid w:val="3FF676AC"/>
    <w:rsid w:val="3FFA53EF"/>
    <w:rsid w:val="400E03CE"/>
    <w:rsid w:val="401171AD"/>
    <w:rsid w:val="40225AF1"/>
    <w:rsid w:val="403B3BE9"/>
    <w:rsid w:val="403D5148"/>
    <w:rsid w:val="403D6B94"/>
    <w:rsid w:val="40507C98"/>
    <w:rsid w:val="40580367"/>
    <w:rsid w:val="4061657E"/>
    <w:rsid w:val="40642B5B"/>
    <w:rsid w:val="40767673"/>
    <w:rsid w:val="407707ED"/>
    <w:rsid w:val="40892318"/>
    <w:rsid w:val="408E0789"/>
    <w:rsid w:val="40A76FA9"/>
    <w:rsid w:val="40AC084A"/>
    <w:rsid w:val="40D05FDB"/>
    <w:rsid w:val="40DB515E"/>
    <w:rsid w:val="40E30197"/>
    <w:rsid w:val="40E63D94"/>
    <w:rsid w:val="40EA1367"/>
    <w:rsid w:val="40EB151F"/>
    <w:rsid w:val="40ED4F53"/>
    <w:rsid w:val="40F25A91"/>
    <w:rsid w:val="411C387B"/>
    <w:rsid w:val="41292B74"/>
    <w:rsid w:val="413F78DB"/>
    <w:rsid w:val="41406E31"/>
    <w:rsid w:val="414E3836"/>
    <w:rsid w:val="41592854"/>
    <w:rsid w:val="416E516B"/>
    <w:rsid w:val="418812BB"/>
    <w:rsid w:val="418D4040"/>
    <w:rsid w:val="419E7FFC"/>
    <w:rsid w:val="419F3079"/>
    <w:rsid w:val="41AE3A67"/>
    <w:rsid w:val="41C95125"/>
    <w:rsid w:val="41CF4659"/>
    <w:rsid w:val="41E719A3"/>
    <w:rsid w:val="41EA02ED"/>
    <w:rsid w:val="42075BA1"/>
    <w:rsid w:val="4215282E"/>
    <w:rsid w:val="42166627"/>
    <w:rsid w:val="42225E0B"/>
    <w:rsid w:val="4235270E"/>
    <w:rsid w:val="42383FB6"/>
    <w:rsid w:val="423D7815"/>
    <w:rsid w:val="424F30C2"/>
    <w:rsid w:val="425E14DB"/>
    <w:rsid w:val="42621029"/>
    <w:rsid w:val="426B4382"/>
    <w:rsid w:val="42725710"/>
    <w:rsid w:val="427358D4"/>
    <w:rsid w:val="42736D87"/>
    <w:rsid w:val="427E086F"/>
    <w:rsid w:val="42826F4F"/>
    <w:rsid w:val="428B0580"/>
    <w:rsid w:val="429A4E70"/>
    <w:rsid w:val="429E14C4"/>
    <w:rsid w:val="42A26186"/>
    <w:rsid w:val="42A94EAA"/>
    <w:rsid w:val="42BA0E65"/>
    <w:rsid w:val="42C13D5C"/>
    <w:rsid w:val="42DD74CF"/>
    <w:rsid w:val="42DF3579"/>
    <w:rsid w:val="42E264C2"/>
    <w:rsid w:val="42E85CD3"/>
    <w:rsid w:val="42F54D63"/>
    <w:rsid w:val="43011E27"/>
    <w:rsid w:val="430D368B"/>
    <w:rsid w:val="430F20A0"/>
    <w:rsid w:val="43135F0F"/>
    <w:rsid w:val="431B6CC7"/>
    <w:rsid w:val="43225F65"/>
    <w:rsid w:val="43503578"/>
    <w:rsid w:val="435720D9"/>
    <w:rsid w:val="435A6285"/>
    <w:rsid w:val="43615785"/>
    <w:rsid w:val="43727992"/>
    <w:rsid w:val="43732880"/>
    <w:rsid w:val="43865952"/>
    <w:rsid w:val="438F0BB0"/>
    <w:rsid w:val="43993170"/>
    <w:rsid w:val="43BF04EA"/>
    <w:rsid w:val="43C05A1E"/>
    <w:rsid w:val="43CA5C8D"/>
    <w:rsid w:val="43CF4932"/>
    <w:rsid w:val="43D22CDA"/>
    <w:rsid w:val="43D354DC"/>
    <w:rsid w:val="4405353A"/>
    <w:rsid w:val="44063CF3"/>
    <w:rsid w:val="44072973"/>
    <w:rsid w:val="44095C00"/>
    <w:rsid w:val="44117E2D"/>
    <w:rsid w:val="441822E7"/>
    <w:rsid w:val="442F13DF"/>
    <w:rsid w:val="443773EC"/>
    <w:rsid w:val="44426345"/>
    <w:rsid w:val="444B2816"/>
    <w:rsid w:val="445279AA"/>
    <w:rsid w:val="4453331F"/>
    <w:rsid w:val="445F3A86"/>
    <w:rsid w:val="4478636B"/>
    <w:rsid w:val="447A0DB3"/>
    <w:rsid w:val="447D2B53"/>
    <w:rsid w:val="4481712B"/>
    <w:rsid w:val="44901E7E"/>
    <w:rsid w:val="449F54A7"/>
    <w:rsid w:val="44A1052F"/>
    <w:rsid w:val="44BD69EB"/>
    <w:rsid w:val="44C93406"/>
    <w:rsid w:val="44D74994"/>
    <w:rsid w:val="44DD0E3B"/>
    <w:rsid w:val="44E67CEF"/>
    <w:rsid w:val="44F62875"/>
    <w:rsid w:val="44F8691B"/>
    <w:rsid w:val="45111EFE"/>
    <w:rsid w:val="451730A2"/>
    <w:rsid w:val="451955A3"/>
    <w:rsid w:val="45205199"/>
    <w:rsid w:val="45260B70"/>
    <w:rsid w:val="45357C2D"/>
    <w:rsid w:val="453A003B"/>
    <w:rsid w:val="45467C1A"/>
    <w:rsid w:val="45523E0A"/>
    <w:rsid w:val="45603F46"/>
    <w:rsid w:val="456F23DB"/>
    <w:rsid w:val="45784EE5"/>
    <w:rsid w:val="457C33A8"/>
    <w:rsid w:val="457F5F13"/>
    <w:rsid w:val="458804FE"/>
    <w:rsid w:val="458D57CB"/>
    <w:rsid w:val="4595726A"/>
    <w:rsid w:val="45C67177"/>
    <w:rsid w:val="45D048BE"/>
    <w:rsid w:val="45DE626C"/>
    <w:rsid w:val="45EB660D"/>
    <w:rsid w:val="45F13477"/>
    <w:rsid w:val="45FD7B3D"/>
    <w:rsid w:val="460A10C2"/>
    <w:rsid w:val="46220C85"/>
    <w:rsid w:val="46230254"/>
    <w:rsid w:val="46244F73"/>
    <w:rsid w:val="46287B26"/>
    <w:rsid w:val="462A00B0"/>
    <w:rsid w:val="462D24EF"/>
    <w:rsid w:val="46534E0B"/>
    <w:rsid w:val="466E2692"/>
    <w:rsid w:val="4670640B"/>
    <w:rsid w:val="46753897"/>
    <w:rsid w:val="467A71EB"/>
    <w:rsid w:val="46867477"/>
    <w:rsid w:val="468A02AD"/>
    <w:rsid w:val="468B3DD1"/>
    <w:rsid w:val="469043B7"/>
    <w:rsid w:val="46BC781A"/>
    <w:rsid w:val="46BF4C9C"/>
    <w:rsid w:val="46C936C8"/>
    <w:rsid w:val="46CB1893"/>
    <w:rsid w:val="46D87DE5"/>
    <w:rsid w:val="46E556A4"/>
    <w:rsid w:val="46E97F6B"/>
    <w:rsid w:val="46EA25E1"/>
    <w:rsid w:val="46EB1077"/>
    <w:rsid w:val="47044DA5"/>
    <w:rsid w:val="470C2558"/>
    <w:rsid w:val="472127B7"/>
    <w:rsid w:val="472165B7"/>
    <w:rsid w:val="47277064"/>
    <w:rsid w:val="47323C17"/>
    <w:rsid w:val="473A07C7"/>
    <w:rsid w:val="4743767B"/>
    <w:rsid w:val="474C305D"/>
    <w:rsid w:val="474E29C1"/>
    <w:rsid w:val="475569C5"/>
    <w:rsid w:val="475A49C5"/>
    <w:rsid w:val="475E44B5"/>
    <w:rsid w:val="476121D8"/>
    <w:rsid w:val="476A063C"/>
    <w:rsid w:val="477C748E"/>
    <w:rsid w:val="478A7058"/>
    <w:rsid w:val="47941208"/>
    <w:rsid w:val="47A101B2"/>
    <w:rsid w:val="47BE3093"/>
    <w:rsid w:val="47BF2852"/>
    <w:rsid w:val="47BF386C"/>
    <w:rsid w:val="47C3256A"/>
    <w:rsid w:val="47C95C6C"/>
    <w:rsid w:val="47D1458C"/>
    <w:rsid w:val="47EC7022"/>
    <w:rsid w:val="47FC7940"/>
    <w:rsid w:val="48030B33"/>
    <w:rsid w:val="48046015"/>
    <w:rsid w:val="4819316F"/>
    <w:rsid w:val="482F5E51"/>
    <w:rsid w:val="48315726"/>
    <w:rsid w:val="483F125D"/>
    <w:rsid w:val="4851401A"/>
    <w:rsid w:val="48580B32"/>
    <w:rsid w:val="485B43A9"/>
    <w:rsid w:val="485F18DC"/>
    <w:rsid w:val="48635024"/>
    <w:rsid w:val="486C0E54"/>
    <w:rsid w:val="487B675C"/>
    <w:rsid w:val="489839F7"/>
    <w:rsid w:val="48A95C04"/>
    <w:rsid w:val="48B22238"/>
    <w:rsid w:val="48B33076"/>
    <w:rsid w:val="48C4330A"/>
    <w:rsid w:val="48D55EB3"/>
    <w:rsid w:val="48DA0701"/>
    <w:rsid w:val="48DF324A"/>
    <w:rsid w:val="48E052EC"/>
    <w:rsid w:val="48E65AEE"/>
    <w:rsid w:val="48F80CE7"/>
    <w:rsid w:val="49096FCD"/>
    <w:rsid w:val="491D7C08"/>
    <w:rsid w:val="494625B6"/>
    <w:rsid w:val="49507E2D"/>
    <w:rsid w:val="49512BB1"/>
    <w:rsid w:val="495E0009"/>
    <w:rsid w:val="49641F5D"/>
    <w:rsid w:val="49666B6B"/>
    <w:rsid w:val="496F2CCC"/>
    <w:rsid w:val="498F64FC"/>
    <w:rsid w:val="49AD1724"/>
    <w:rsid w:val="49BE7E39"/>
    <w:rsid w:val="49C40005"/>
    <w:rsid w:val="49C65419"/>
    <w:rsid w:val="49CF6EFC"/>
    <w:rsid w:val="49D04BAB"/>
    <w:rsid w:val="49EA0282"/>
    <w:rsid w:val="49EA17C4"/>
    <w:rsid w:val="49EF440A"/>
    <w:rsid w:val="4A0C644A"/>
    <w:rsid w:val="4A1A2F12"/>
    <w:rsid w:val="4A2C7C77"/>
    <w:rsid w:val="4A321C6F"/>
    <w:rsid w:val="4A366D8C"/>
    <w:rsid w:val="4A375709"/>
    <w:rsid w:val="4A475BFC"/>
    <w:rsid w:val="4A4E1094"/>
    <w:rsid w:val="4A561717"/>
    <w:rsid w:val="4A5D3269"/>
    <w:rsid w:val="4A606796"/>
    <w:rsid w:val="4A717D8F"/>
    <w:rsid w:val="4A7D0F83"/>
    <w:rsid w:val="4A834A22"/>
    <w:rsid w:val="4A8815D3"/>
    <w:rsid w:val="4A9454F9"/>
    <w:rsid w:val="4A972DF7"/>
    <w:rsid w:val="4A992274"/>
    <w:rsid w:val="4AA77F21"/>
    <w:rsid w:val="4AAA2276"/>
    <w:rsid w:val="4AB64534"/>
    <w:rsid w:val="4ABD14F2"/>
    <w:rsid w:val="4AC66642"/>
    <w:rsid w:val="4AC87549"/>
    <w:rsid w:val="4AD37353"/>
    <w:rsid w:val="4ADC6651"/>
    <w:rsid w:val="4AE2340C"/>
    <w:rsid w:val="4AE72A13"/>
    <w:rsid w:val="4AFF6999"/>
    <w:rsid w:val="4B0E61F2"/>
    <w:rsid w:val="4B21257E"/>
    <w:rsid w:val="4B290FE3"/>
    <w:rsid w:val="4B322207"/>
    <w:rsid w:val="4B3B5793"/>
    <w:rsid w:val="4B58050B"/>
    <w:rsid w:val="4B5A25F7"/>
    <w:rsid w:val="4B6A0768"/>
    <w:rsid w:val="4B6B0CBD"/>
    <w:rsid w:val="4B705719"/>
    <w:rsid w:val="4B7B47F9"/>
    <w:rsid w:val="4BA563FE"/>
    <w:rsid w:val="4BB77663"/>
    <w:rsid w:val="4BC54DE5"/>
    <w:rsid w:val="4BCB7306"/>
    <w:rsid w:val="4BD52968"/>
    <w:rsid w:val="4BD91D02"/>
    <w:rsid w:val="4BE2600E"/>
    <w:rsid w:val="4BE57820"/>
    <w:rsid w:val="4BF657A1"/>
    <w:rsid w:val="4BFB7B74"/>
    <w:rsid w:val="4C0457A1"/>
    <w:rsid w:val="4C3F2C78"/>
    <w:rsid w:val="4C404189"/>
    <w:rsid w:val="4C42244E"/>
    <w:rsid w:val="4C437DCE"/>
    <w:rsid w:val="4C6D3DA8"/>
    <w:rsid w:val="4C727CFA"/>
    <w:rsid w:val="4C88081B"/>
    <w:rsid w:val="4C8872A2"/>
    <w:rsid w:val="4C9C19F3"/>
    <w:rsid w:val="4CA47183"/>
    <w:rsid w:val="4CA7245A"/>
    <w:rsid w:val="4CB7606E"/>
    <w:rsid w:val="4CF745DE"/>
    <w:rsid w:val="4CFC57E0"/>
    <w:rsid w:val="4D087B01"/>
    <w:rsid w:val="4D0B58BC"/>
    <w:rsid w:val="4D0C050F"/>
    <w:rsid w:val="4D0C2AD5"/>
    <w:rsid w:val="4D2059FA"/>
    <w:rsid w:val="4D2E3574"/>
    <w:rsid w:val="4D451B18"/>
    <w:rsid w:val="4D45533B"/>
    <w:rsid w:val="4D4D5AFE"/>
    <w:rsid w:val="4D502AF2"/>
    <w:rsid w:val="4D5C07F9"/>
    <w:rsid w:val="4D755736"/>
    <w:rsid w:val="4D76198B"/>
    <w:rsid w:val="4D78018E"/>
    <w:rsid w:val="4DAC0A3B"/>
    <w:rsid w:val="4DB92102"/>
    <w:rsid w:val="4DBA3E20"/>
    <w:rsid w:val="4DBC5B64"/>
    <w:rsid w:val="4DC679DB"/>
    <w:rsid w:val="4DE61D12"/>
    <w:rsid w:val="4DF1146E"/>
    <w:rsid w:val="4DF53699"/>
    <w:rsid w:val="4DF82017"/>
    <w:rsid w:val="4E0E661C"/>
    <w:rsid w:val="4E1E3790"/>
    <w:rsid w:val="4E2E44B5"/>
    <w:rsid w:val="4E4C57ED"/>
    <w:rsid w:val="4E5505A6"/>
    <w:rsid w:val="4E820BD8"/>
    <w:rsid w:val="4E83047D"/>
    <w:rsid w:val="4E874C8C"/>
    <w:rsid w:val="4E8D729C"/>
    <w:rsid w:val="4E8E1C0C"/>
    <w:rsid w:val="4E920BAA"/>
    <w:rsid w:val="4E9609D8"/>
    <w:rsid w:val="4E98004C"/>
    <w:rsid w:val="4EA5208F"/>
    <w:rsid w:val="4EAE617F"/>
    <w:rsid w:val="4EBD702F"/>
    <w:rsid w:val="4EC310A1"/>
    <w:rsid w:val="4EC818B0"/>
    <w:rsid w:val="4ECB59F9"/>
    <w:rsid w:val="4ECE1CAC"/>
    <w:rsid w:val="4ED35615"/>
    <w:rsid w:val="4EE414BB"/>
    <w:rsid w:val="4EE53CEC"/>
    <w:rsid w:val="4EE87B84"/>
    <w:rsid w:val="4EFE0DEE"/>
    <w:rsid w:val="4EFF65C5"/>
    <w:rsid w:val="4F0052D1"/>
    <w:rsid w:val="4F014784"/>
    <w:rsid w:val="4F0431E6"/>
    <w:rsid w:val="4F1B712F"/>
    <w:rsid w:val="4F1C605F"/>
    <w:rsid w:val="4F254824"/>
    <w:rsid w:val="4F2658BE"/>
    <w:rsid w:val="4F42646A"/>
    <w:rsid w:val="4F4736A7"/>
    <w:rsid w:val="4F530677"/>
    <w:rsid w:val="4F7914EF"/>
    <w:rsid w:val="4F9174FD"/>
    <w:rsid w:val="4F9402D2"/>
    <w:rsid w:val="4FA669F9"/>
    <w:rsid w:val="4FB10142"/>
    <w:rsid w:val="4FB82BD0"/>
    <w:rsid w:val="4FC643B6"/>
    <w:rsid w:val="4FD1578E"/>
    <w:rsid w:val="4FE10E76"/>
    <w:rsid w:val="4FEE2189"/>
    <w:rsid w:val="4FF71C3D"/>
    <w:rsid w:val="50016856"/>
    <w:rsid w:val="5008518B"/>
    <w:rsid w:val="500B32A2"/>
    <w:rsid w:val="501A4DE6"/>
    <w:rsid w:val="502B6647"/>
    <w:rsid w:val="502B6EFE"/>
    <w:rsid w:val="50324E90"/>
    <w:rsid w:val="504C1B11"/>
    <w:rsid w:val="504E68CB"/>
    <w:rsid w:val="50526071"/>
    <w:rsid w:val="505F48A5"/>
    <w:rsid w:val="506472D4"/>
    <w:rsid w:val="50666C7A"/>
    <w:rsid w:val="507460A4"/>
    <w:rsid w:val="5094445D"/>
    <w:rsid w:val="509C0D4E"/>
    <w:rsid w:val="50A23A1E"/>
    <w:rsid w:val="50AC44E3"/>
    <w:rsid w:val="50B57EA9"/>
    <w:rsid w:val="50BC2B26"/>
    <w:rsid w:val="50BE1984"/>
    <w:rsid w:val="50D141C6"/>
    <w:rsid w:val="50D94FDD"/>
    <w:rsid w:val="50F115EA"/>
    <w:rsid w:val="50F72C9C"/>
    <w:rsid w:val="50FC0DB6"/>
    <w:rsid w:val="511107EA"/>
    <w:rsid w:val="511F2007"/>
    <w:rsid w:val="51271E2F"/>
    <w:rsid w:val="51342CAA"/>
    <w:rsid w:val="51366F32"/>
    <w:rsid w:val="51406A38"/>
    <w:rsid w:val="514B4E4E"/>
    <w:rsid w:val="516578E1"/>
    <w:rsid w:val="517174DB"/>
    <w:rsid w:val="518049FF"/>
    <w:rsid w:val="51932FAD"/>
    <w:rsid w:val="51A06E66"/>
    <w:rsid w:val="51AF590D"/>
    <w:rsid w:val="51B475E9"/>
    <w:rsid w:val="51BA020E"/>
    <w:rsid w:val="51C05FF6"/>
    <w:rsid w:val="51D135DE"/>
    <w:rsid w:val="51DF4444"/>
    <w:rsid w:val="51F65295"/>
    <w:rsid w:val="51F872B4"/>
    <w:rsid w:val="51FD3DB6"/>
    <w:rsid w:val="52097713"/>
    <w:rsid w:val="520C3BB6"/>
    <w:rsid w:val="52252174"/>
    <w:rsid w:val="52295AE6"/>
    <w:rsid w:val="522D0E7F"/>
    <w:rsid w:val="523061C0"/>
    <w:rsid w:val="523E4D62"/>
    <w:rsid w:val="5243507E"/>
    <w:rsid w:val="525402A0"/>
    <w:rsid w:val="52554706"/>
    <w:rsid w:val="525F5585"/>
    <w:rsid w:val="528D41E4"/>
    <w:rsid w:val="52BF5C92"/>
    <w:rsid w:val="52C2167A"/>
    <w:rsid w:val="52C7794C"/>
    <w:rsid w:val="52D279CD"/>
    <w:rsid w:val="52D32ADF"/>
    <w:rsid w:val="52E45ACB"/>
    <w:rsid w:val="52E71802"/>
    <w:rsid w:val="52F47AFB"/>
    <w:rsid w:val="53071B37"/>
    <w:rsid w:val="530A5973"/>
    <w:rsid w:val="531169F3"/>
    <w:rsid w:val="531348FB"/>
    <w:rsid w:val="53275D3D"/>
    <w:rsid w:val="532760A3"/>
    <w:rsid w:val="533354CF"/>
    <w:rsid w:val="533407C0"/>
    <w:rsid w:val="53346B96"/>
    <w:rsid w:val="535D5DC8"/>
    <w:rsid w:val="53776509"/>
    <w:rsid w:val="537A3167"/>
    <w:rsid w:val="537D2360"/>
    <w:rsid w:val="53811E50"/>
    <w:rsid w:val="53B22465"/>
    <w:rsid w:val="53B72F65"/>
    <w:rsid w:val="53BE3989"/>
    <w:rsid w:val="53D83751"/>
    <w:rsid w:val="53D85151"/>
    <w:rsid w:val="53E844A9"/>
    <w:rsid w:val="53FD2AC2"/>
    <w:rsid w:val="5409404E"/>
    <w:rsid w:val="54134B75"/>
    <w:rsid w:val="54164746"/>
    <w:rsid w:val="541F238F"/>
    <w:rsid w:val="542E2ADC"/>
    <w:rsid w:val="543341B9"/>
    <w:rsid w:val="543415ED"/>
    <w:rsid w:val="5438608E"/>
    <w:rsid w:val="544B7F7E"/>
    <w:rsid w:val="54501D22"/>
    <w:rsid w:val="546146EB"/>
    <w:rsid w:val="54680D66"/>
    <w:rsid w:val="54685AA1"/>
    <w:rsid w:val="547D06FB"/>
    <w:rsid w:val="547D14B1"/>
    <w:rsid w:val="54857DDB"/>
    <w:rsid w:val="548C678B"/>
    <w:rsid w:val="54905199"/>
    <w:rsid w:val="54914216"/>
    <w:rsid w:val="549273A9"/>
    <w:rsid w:val="549405C7"/>
    <w:rsid w:val="549D6C55"/>
    <w:rsid w:val="54CA07F6"/>
    <w:rsid w:val="54E3249D"/>
    <w:rsid w:val="54E979F3"/>
    <w:rsid w:val="54EF0774"/>
    <w:rsid w:val="54F2448F"/>
    <w:rsid w:val="54FE2E33"/>
    <w:rsid w:val="550B2DC8"/>
    <w:rsid w:val="5520724E"/>
    <w:rsid w:val="5540169E"/>
    <w:rsid w:val="55466588"/>
    <w:rsid w:val="5547793A"/>
    <w:rsid w:val="554C32B2"/>
    <w:rsid w:val="55501E76"/>
    <w:rsid w:val="55701D69"/>
    <w:rsid w:val="55731E3E"/>
    <w:rsid w:val="557A0272"/>
    <w:rsid w:val="557E29D7"/>
    <w:rsid w:val="558F2195"/>
    <w:rsid w:val="55900035"/>
    <w:rsid w:val="559F5951"/>
    <w:rsid w:val="55AF798B"/>
    <w:rsid w:val="55CA70E8"/>
    <w:rsid w:val="55ED4967"/>
    <w:rsid w:val="55F350C4"/>
    <w:rsid w:val="560E7AEF"/>
    <w:rsid w:val="561B14C6"/>
    <w:rsid w:val="561B7A15"/>
    <w:rsid w:val="56247722"/>
    <w:rsid w:val="56342FDD"/>
    <w:rsid w:val="563F54B2"/>
    <w:rsid w:val="56467B64"/>
    <w:rsid w:val="565626F9"/>
    <w:rsid w:val="565671A2"/>
    <w:rsid w:val="56685CA8"/>
    <w:rsid w:val="56694C24"/>
    <w:rsid w:val="56740DC7"/>
    <w:rsid w:val="56753961"/>
    <w:rsid w:val="5677558B"/>
    <w:rsid w:val="569C2904"/>
    <w:rsid w:val="56AA3219"/>
    <w:rsid w:val="56CF2574"/>
    <w:rsid w:val="56CF424D"/>
    <w:rsid w:val="56DE4C00"/>
    <w:rsid w:val="570847EE"/>
    <w:rsid w:val="573270B5"/>
    <w:rsid w:val="57331689"/>
    <w:rsid w:val="57443B56"/>
    <w:rsid w:val="57614844"/>
    <w:rsid w:val="57664CC0"/>
    <w:rsid w:val="576A00D2"/>
    <w:rsid w:val="576A530D"/>
    <w:rsid w:val="578E42DB"/>
    <w:rsid w:val="57971A40"/>
    <w:rsid w:val="579E4D2D"/>
    <w:rsid w:val="57A24175"/>
    <w:rsid w:val="57B75717"/>
    <w:rsid w:val="57B95737"/>
    <w:rsid w:val="57C470D2"/>
    <w:rsid w:val="57C77E19"/>
    <w:rsid w:val="57CA488B"/>
    <w:rsid w:val="57DB3900"/>
    <w:rsid w:val="57DB47FB"/>
    <w:rsid w:val="580846BB"/>
    <w:rsid w:val="5816050F"/>
    <w:rsid w:val="581D5CC6"/>
    <w:rsid w:val="58205F1A"/>
    <w:rsid w:val="582468CD"/>
    <w:rsid w:val="582840C5"/>
    <w:rsid w:val="583074F9"/>
    <w:rsid w:val="583515AC"/>
    <w:rsid w:val="584B45E2"/>
    <w:rsid w:val="584C2587"/>
    <w:rsid w:val="585127AA"/>
    <w:rsid w:val="585D5314"/>
    <w:rsid w:val="58603D47"/>
    <w:rsid w:val="58743A0C"/>
    <w:rsid w:val="589A7317"/>
    <w:rsid w:val="58BB3CCE"/>
    <w:rsid w:val="58C97BB5"/>
    <w:rsid w:val="58CD3249"/>
    <w:rsid w:val="58DE0E81"/>
    <w:rsid w:val="59125866"/>
    <w:rsid w:val="5915352F"/>
    <w:rsid w:val="591B0458"/>
    <w:rsid w:val="59232E69"/>
    <w:rsid w:val="59304651"/>
    <w:rsid w:val="593A5AB8"/>
    <w:rsid w:val="593E2965"/>
    <w:rsid w:val="594856C1"/>
    <w:rsid w:val="59486EBB"/>
    <w:rsid w:val="59493AFE"/>
    <w:rsid w:val="594C38F9"/>
    <w:rsid w:val="594C4A1E"/>
    <w:rsid w:val="59567838"/>
    <w:rsid w:val="59700D18"/>
    <w:rsid w:val="5970491E"/>
    <w:rsid w:val="597304CA"/>
    <w:rsid w:val="59794C92"/>
    <w:rsid w:val="597A0373"/>
    <w:rsid w:val="598803B1"/>
    <w:rsid w:val="59A10231"/>
    <w:rsid w:val="59A5117A"/>
    <w:rsid w:val="59A937D5"/>
    <w:rsid w:val="59BA6CB3"/>
    <w:rsid w:val="59BA6CC4"/>
    <w:rsid w:val="59DB746A"/>
    <w:rsid w:val="59F2154E"/>
    <w:rsid w:val="59F9691A"/>
    <w:rsid w:val="5A012975"/>
    <w:rsid w:val="5A0233C6"/>
    <w:rsid w:val="5A097A39"/>
    <w:rsid w:val="5A112448"/>
    <w:rsid w:val="5A1E417A"/>
    <w:rsid w:val="5A266C4C"/>
    <w:rsid w:val="5A2D3B53"/>
    <w:rsid w:val="5A3B2434"/>
    <w:rsid w:val="5A6457FD"/>
    <w:rsid w:val="5A645A7F"/>
    <w:rsid w:val="5A653116"/>
    <w:rsid w:val="5A6821A5"/>
    <w:rsid w:val="5A7035CD"/>
    <w:rsid w:val="5A873ECB"/>
    <w:rsid w:val="5A934A0F"/>
    <w:rsid w:val="5A957C98"/>
    <w:rsid w:val="5A9E6D6F"/>
    <w:rsid w:val="5AAC50E0"/>
    <w:rsid w:val="5AAD60EA"/>
    <w:rsid w:val="5AB61DE0"/>
    <w:rsid w:val="5AC92574"/>
    <w:rsid w:val="5ACB527F"/>
    <w:rsid w:val="5AD7761B"/>
    <w:rsid w:val="5AE6394B"/>
    <w:rsid w:val="5B072DB6"/>
    <w:rsid w:val="5B19492B"/>
    <w:rsid w:val="5B233465"/>
    <w:rsid w:val="5B506B61"/>
    <w:rsid w:val="5B5F0F2E"/>
    <w:rsid w:val="5B667984"/>
    <w:rsid w:val="5B6B796C"/>
    <w:rsid w:val="5B7C0F56"/>
    <w:rsid w:val="5B7E621B"/>
    <w:rsid w:val="5B885B4D"/>
    <w:rsid w:val="5B9808C1"/>
    <w:rsid w:val="5BB10CB2"/>
    <w:rsid w:val="5BC16A09"/>
    <w:rsid w:val="5BC86C25"/>
    <w:rsid w:val="5BD42177"/>
    <w:rsid w:val="5C012CC6"/>
    <w:rsid w:val="5C3B496D"/>
    <w:rsid w:val="5C4D1807"/>
    <w:rsid w:val="5C503DE0"/>
    <w:rsid w:val="5C5435D1"/>
    <w:rsid w:val="5C5C5BA5"/>
    <w:rsid w:val="5C6C0FCA"/>
    <w:rsid w:val="5C8005D2"/>
    <w:rsid w:val="5C8C4702"/>
    <w:rsid w:val="5C936557"/>
    <w:rsid w:val="5C943DBC"/>
    <w:rsid w:val="5C997625"/>
    <w:rsid w:val="5CA57080"/>
    <w:rsid w:val="5CA77E21"/>
    <w:rsid w:val="5CAF0BE0"/>
    <w:rsid w:val="5CB27833"/>
    <w:rsid w:val="5CB458BA"/>
    <w:rsid w:val="5CDC782C"/>
    <w:rsid w:val="5CE23DAC"/>
    <w:rsid w:val="5CE73917"/>
    <w:rsid w:val="5D0A73AF"/>
    <w:rsid w:val="5D120F26"/>
    <w:rsid w:val="5D1551BE"/>
    <w:rsid w:val="5D1F603D"/>
    <w:rsid w:val="5D283143"/>
    <w:rsid w:val="5D376039"/>
    <w:rsid w:val="5D3E31E9"/>
    <w:rsid w:val="5D436E42"/>
    <w:rsid w:val="5D63667B"/>
    <w:rsid w:val="5D6F2EDA"/>
    <w:rsid w:val="5D783847"/>
    <w:rsid w:val="5D83037A"/>
    <w:rsid w:val="5D9941C1"/>
    <w:rsid w:val="5DA92832"/>
    <w:rsid w:val="5DAE502B"/>
    <w:rsid w:val="5DB466F3"/>
    <w:rsid w:val="5DB915F2"/>
    <w:rsid w:val="5DBC60F3"/>
    <w:rsid w:val="5DCB1D21"/>
    <w:rsid w:val="5DCD5A99"/>
    <w:rsid w:val="5DDA5440"/>
    <w:rsid w:val="5DDD5947"/>
    <w:rsid w:val="5DDF393D"/>
    <w:rsid w:val="5DDF6E4E"/>
    <w:rsid w:val="5DFA49E0"/>
    <w:rsid w:val="5E1D0F80"/>
    <w:rsid w:val="5E1F3B6D"/>
    <w:rsid w:val="5E224037"/>
    <w:rsid w:val="5E352C38"/>
    <w:rsid w:val="5E3E40FF"/>
    <w:rsid w:val="5E40706E"/>
    <w:rsid w:val="5E4C1080"/>
    <w:rsid w:val="5E4E1C8A"/>
    <w:rsid w:val="5E5D7A78"/>
    <w:rsid w:val="5E7833A1"/>
    <w:rsid w:val="5E8274BA"/>
    <w:rsid w:val="5E8530EF"/>
    <w:rsid w:val="5EA06D09"/>
    <w:rsid w:val="5EA53C9A"/>
    <w:rsid w:val="5EB822A5"/>
    <w:rsid w:val="5EBC7F37"/>
    <w:rsid w:val="5ECE7D1A"/>
    <w:rsid w:val="5ED03A93"/>
    <w:rsid w:val="5ED36C86"/>
    <w:rsid w:val="5EDA60B0"/>
    <w:rsid w:val="5EE35A57"/>
    <w:rsid w:val="5F1645A7"/>
    <w:rsid w:val="5F49114F"/>
    <w:rsid w:val="5F6A54DD"/>
    <w:rsid w:val="5F767138"/>
    <w:rsid w:val="5F815969"/>
    <w:rsid w:val="5F8B4FA7"/>
    <w:rsid w:val="5F9B72D1"/>
    <w:rsid w:val="5FAB0A44"/>
    <w:rsid w:val="5FB17C29"/>
    <w:rsid w:val="5FB34738"/>
    <w:rsid w:val="5FB95E1C"/>
    <w:rsid w:val="5FC85F82"/>
    <w:rsid w:val="5FCB3FE5"/>
    <w:rsid w:val="5FDC5EDE"/>
    <w:rsid w:val="5FEB2206"/>
    <w:rsid w:val="5FED772C"/>
    <w:rsid w:val="5FF97EAE"/>
    <w:rsid w:val="60155C27"/>
    <w:rsid w:val="60162D11"/>
    <w:rsid w:val="601A6070"/>
    <w:rsid w:val="60226F8B"/>
    <w:rsid w:val="602A2D2E"/>
    <w:rsid w:val="603B4F3C"/>
    <w:rsid w:val="60477ABF"/>
    <w:rsid w:val="604B06AE"/>
    <w:rsid w:val="60526566"/>
    <w:rsid w:val="60563B24"/>
    <w:rsid w:val="607F756F"/>
    <w:rsid w:val="60917251"/>
    <w:rsid w:val="60982996"/>
    <w:rsid w:val="60AC589E"/>
    <w:rsid w:val="60C53D01"/>
    <w:rsid w:val="60C9018D"/>
    <w:rsid w:val="60CE5DB0"/>
    <w:rsid w:val="60DA12FD"/>
    <w:rsid w:val="61012C93"/>
    <w:rsid w:val="61053FC5"/>
    <w:rsid w:val="610C088E"/>
    <w:rsid w:val="614A03E6"/>
    <w:rsid w:val="61531A50"/>
    <w:rsid w:val="61532201"/>
    <w:rsid w:val="61651210"/>
    <w:rsid w:val="61666018"/>
    <w:rsid w:val="616B46BB"/>
    <w:rsid w:val="616E5EB6"/>
    <w:rsid w:val="617526CF"/>
    <w:rsid w:val="618560EB"/>
    <w:rsid w:val="618E3791"/>
    <w:rsid w:val="619B5D77"/>
    <w:rsid w:val="61B10243"/>
    <w:rsid w:val="61BB2DD9"/>
    <w:rsid w:val="61C00B2F"/>
    <w:rsid w:val="61C3411F"/>
    <w:rsid w:val="61DD1B9A"/>
    <w:rsid w:val="61E136F6"/>
    <w:rsid w:val="61F4426B"/>
    <w:rsid w:val="61F83805"/>
    <w:rsid w:val="62022776"/>
    <w:rsid w:val="6205764C"/>
    <w:rsid w:val="621F13DC"/>
    <w:rsid w:val="62256C85"/>
    <w:rsid w:val="623600B0"/>
    <w:rsid w:val="62562501"/>
    <w:rsid w:val="6256299E"/>
    <w:rsid w:val="62574D95"/>
    <w:rsid w:val="62583769"/>
    <w:rsid w:val="62586747"/>
    <w:rsid w:val="626C60B7"/>
    <w:rsid w:val="62746498"/>
    <w:rsid w:val="62830E1C"/>
    <w:rsid w:val="62922E0D"/>
    <w:rsid w:val="62982A5C"/>
    <w:rsid w:val="62A451FB"/>
    <w:rsid w:val="62BB1163"/>
    <w:rsid w:val="62CB6D60"/>
    <w:rsid w:val="62E358B2"/>
    <w:rsid w:val="62EA49F7"/>
    <w:rsid w:val="62F154C5"/>
    <w:rsid w:val="62FD0A5D"/>
    <w:rsid w:val="63162338"/>
    <w:rsid w:val="632036E4"/>
    <w:rsid w:val="63232EB3"/>
    <w:rsid w:val="63267478"/>
    <w:rsid w:val="633D315E"/>
    <w:rsid w:val="63504ABF"/>
    <w:rsid w:val="63517786"/>
    <w:rsid w:val="635A0D1C"/>
    <w:rsid w:val="637052D7"/>
    <w:rsid w:val="6388739F"/>
    <w:rsid w:val="6389099E"/>
    <w:rsid w:val="63954DAA"/>
    <w:rsid w:val="63C74AA3"/>
    <w:rsid w:val="63D87748"/>
    <w:rsid w:val="63DE2EEF"/>
    <w:rsid w:val="63E8362C"/>
    <w:rsid w:val="63F16145"/>
    <w:rsid w:val="64024CFF"/>
    <w:rsid w:val="640B2E77"/>
    <w:rsid w:val="641D22DD"/>
    <w:rsid w:val="643B19AE"/>
    <w:rsid w:val="64426DE8"/>
    <w:rsid w:val="644C3930"/>
    <w:rsid w:val="645B3151"/>
    <w:rsid w:val="646A170C"/>
    <w:rsid w:val="64701038"/>
    <w:rsid w:val="64722EF6"/>
    <w:rsid w:val="64797A3F"/>
    <w:rsid w:val="647B4B09"/>
    <w:rsid w:val="647B6F79"/>
    <w:rsid w:val="64815AEE"/>
    <w:rsid w:val="648937A8"/>
    <w:rsid w:val="648B1BA9"/>
    <w:rsid w:val="648D0F64"/>
    <w:rsid w:val="649449E8"/>
    <w:rsid w:val="649D5D6D"/>
    <w:rsid w:val="64A9391A"/>
    <w:rsid w:val="64AF7CA6"/>
    <w:rsid w:val="64D77B16"/>
    <w:rsid w:val="64F953C5"/>
    <w:rsid w:val="6502710D"/>
    <w:rsid w:val="651B533C"/>
    <w:rsid w:val="651E27DC"/>
    <w:rsid w:val="65206DF6"/>
    <w:rsid w:val="65291D8F"/>
    <w:rsid w:val="65570D94"/>
    <w:rsid w:val="655774EE"/>
    <w:rsid w:val="65795592"/>
    <w:rsid w:val="65A10F4D"/>
    <w:rsid w:val="65A93335"/>
    <w:rsid w:val="65B51681"/>
    <w:rsid w:val="65B765E2"/>
    <w:rsid w:val="65BC5BDE"/>
    <w:rsid w:val="65CB4FB4"/>
    <w:rsid w:val="65D3678B"/>
    <w:rsid w:val="65DB69B9"/>
    <w:rsid w:val="65E142CF"/>
    <w:rsid w:val="65EC3692"/>
    <w:rsid w:val="65F16DEF"/>
    <w:rsid w:val="65FF5B93"/>
    <w:rsid w:val="660540EE"/>
    <w:rsid w:val="66081715"/>
    <w:rsid w:val="661673E0"/>
    <w:rsid w:val="661A1A97"/>
    <w:rsid w:val="661A3845"/>
    <w:rsid w:val="661B00EA"/>
    <w:rsid w:val="661D360B"/>
    <w:rsid w:val="66523C3F"/>
    <w:rsid w:val="66541F53"/>
    <w:rsid w:val="665C126F"/>
    <w:rsid w:val="6660647F"/>
    <w:rsid w:val="66613222"/>
    <w:rsid w:val="666305B8"/>
    <w:rsid w:val="66820F47"/>
    <w:rsid w:val="668A782A"/>
    <w:rsid w:val="66AF1795"/>
    <w:rsid w:val="66B07CC1"/>
    <w:rsid w:val="66B14B24"/>
    <w:rsid w:val="66B27D18"/>
    <w:rsid w:val="66D1442C"/>
    <w:rsid w:val="66D47E7F"/>
    <w:rsid w:val="66D64E5B"/>
    <w:rsid w:val="66DD089D"/>
    <w:rsid w:val="66F0016C"/>
    <w:rsid w:val="66FA0812"/>
    <w:rsid w:val="66FB2BD0"/>
    <w:rsid w:val="66FC2971"/>
    <w:rsid w:val="670008EB"/>
    <w:rsid w:val="67103ED9"/>
    <w:rsid w:val="67262B05"/>
    <w:rsid w:val="672C7CD4"/>
    <w:rsid w:val="674E513F"/>
    <w:rsid w:val="674E6BDA"/>
    <w:rsid w:val="67610E75"/>
    <w:rsid w:val="676F0F89"/>
    <w:rsid w:val="677178CC"/>
    <w:rsid w:val="677977BA"/>
    <w:rsid w:val="67797A29"/>
    <w:rsid w:val="678952B2"/>
    <w:rsid w:val="679D31F9"/>
    <w:rsid w:val="679D3BF4"/>
    <w:rsid w:val="679D472E"/>
    <w:rsid w:val="67A41618"/>
    <w:rsid w:val="67AE4749"/>
    <w:rsid w:val="67C56A11"/>
    <w:rsid w:val="67D13936"/>
    <w:rsid w:val="67DC3A63"/>
    <w:rsid w:val="67E071EA"/>
    <w:rsid w:val="67FC4971"/>
    <w:rsid w:val="68221BAF"/>
    <w:rsid w:val="682D62D9"/>
    <w:rsid w:val="6841155D"/>
    <w:rsid w:val="685143BC"/>
    <w:rsid w:val="68542A0A"/>
    <w:rsid w:val="68555296"/>
    <w:rsid w:val="685C6397"/>
    <w:rsid w:val="686C1E80"/>
    <w:rsid w:val="68816836"/>
    <w:rsid w:val="688D5C0C"/>
    <w:rsid w:val="689079C3"/>
    <w:rsid w:val="689A2A1B"/>
    <w:rsid w:val="68B95597"/>
    <w:rsid w:val="68BB6F7B"/>
    <w:rsid w:val="68D46A71"/>
    <w:rsid w:val="68D56910"/>
    <w:rsid w:val="68EF70C5"/>
    <w:rsid w:val="68F22D9F"/>
    <w:rsid w:val="69162C86"/>
    <w:rsid w:val="69180AD7"/>
    <w:rsid w:val="69201173"/>
    <w:rsid w:val="69214083"/>
    <w:rsid w:val="69456B9A"/>
    <w:rsid w:val="69481344"/>
    <w:rsid w:val="695700E3"/>
    <w:rsid w:val="6980516E"/>
    <w:rsid w:val="698B51FD"/>
    <w:rsid w:val="69960468"/>
    <w:rsid w:val="69A109AD"/>
    <w:rsid w:val="69B875FD"/>
    <w:rsid w:val="69D5796F"/>
    <w:rsid w:val="69E00AE8"/>
    <w:rsid w:val="69E2467A"/>
    <w:rsid w:val="69F101EA"/>
    <w:rsid w:val="69F448E4"/>
    <w:rsid w:val="6A0606AA"/>
    <w:rsid w:val="6A090874"/>
    <w:rsid w:val="6A0F6D29"/>
    <w:rsid w:val="6A1231B1"/>
    <w:rsid w:val="6A18009C"/>
    <w:rsid w:val="6A1B780C"/>
    <w:rsid w:val="6A206086"/>
    <w:rsid w:val="6A271B68"/>
    <w:rsid w:val="6A3273AF"/>
    <w:rsid w:val="6A3F0B90"/>
    <w:rsid w:val="6A3F71AB"/>
    <w:rsid w:val="6A407F9F"/>
    <w:rsid w:val="6A425119"/>
    <w:rsid w:val="6A4620BF"/>
    <w:rsid w:val="6A4D5F32"/>
    <w:rsid w:val="6A5D65D9"/>
    <w:rsid w:val="6A663971"/>
    <w:rsid w:val="6A6908F7"/>
    <w:rsid w:val="6A722F0B"/>
    <w:rsid w:val="6A7A4D5B"/>
    <w:rsid w:val="6A7E7518"/>
    <w:rsid w:val="6A825953"/>
    <w:rsid w:val="6A881C38"/>
    <w:rsid w:val="6A8A11E6"/>
    <w:rsid w:val="6A8B2F63"/>
    <w:rsid w:val="6A9C6F1F"/>
    <w:rsid w:val="6AC034F3"/>
    <w:rsid w:val="6AC96987"/>
    <w:rsid w:val="6AD24017"/>
    <w:rsid w:val="6AD42C61"/>
    <w:rsid w:val="6AE14092"/>
    <w:rsid w:val="6AEA323D"/>
    <w:rsid w:val="6AF07997"/>
    <w:rsid w:val="6AF41F05"/>
    <w:rsid w:val="6AF5032D"/>
    <w:rsid w:val="6AFB2812"/>
    <w:rsid w:val="6AFF182D"/>
    <w:rsid w:val="6B032C8C"/>
    <w:rsid w:val="6B0F64B4"/>
    <w:rsid w:val="6B243303"/>
    <w:rsid w:val="6B3569BE"/>
    <w:rsid w:val="6B3A1CE8"/>
    <w:rsid w:val="6B3E4E41"/>
    <w:rsid w:val="6B4D49EF"/>
    <w:rsid w:val="6B556078"/>
    <w:rsid w:val="6B565CD0"/>
    <w:rsid w:val="6B68013D"/>
    <w:rsid w:val="6B7022D0"/>
    <w:rsid w:val="6B7A2CF2"/>
    <w:rsid w:val="6B7B5422"/>
    <w:rsid w:val="6B852192"/>
    <w:rsid w:val="6B925A32"/>
    <w:rsid w:val="6B9C4F5E"/>
    <w:rsid w:val="6BA60AA4"/>
    <w:rsid w:val="6BA92B5A"/>
    <w:rsid w:val="6BAE2C22"/>
    <w:rsid w:val="6BB42760"/>
    <w:rsid w:val="6BB51EAC"/>
    <w:rsid w:val="6BD37065"/>
    <w:rsid w:val="6BE13B5E"/>
    <w:rsid w:val="6BE31674"/>
    <w:rsid w:val="6BE95EA9"/>
    <w:rsid w:val="6BEA6094"/>
    <w:rsid w:val="6BFD579B"/>
    <w:rsid w:val="6C114575"/>
    <w:rsid w:val="6C150D37"/>
    <w:rsid w:val="6C2A7712"/>
    <w:rsid w:val="6C3E2214"/>
    <w:rsid w:val="6C427652"/>
    <w:rsid w:val="6C49792F"/>
    <w:rsid w:val="6C4D48CD"/>
    <w:rsid w:val="6C661592"/>
    <w:rsid w:val="6C8202CD"/>
    <w:rsid w:val="6C8639E2"/>
    <w:rsid w:val="6C961621"/>
    <w:rsid w:val="6C9D5038"/>
    <w:rsid w:val="6CBB7DE1"/>
    <w:rsid w:val="6CC445CB"/>
    <w:rsid w:val="6CCD5D14"/>
    <w:rsid w:val="6CD042ED"/>
    <w:rsid w:val="6CDA2357"/>
    <w:rsid w:val="6CE8212C"/>
    <w:rsid w:val="6CF01775"/>
    <w:rsid w:val="6CFB62C0"/>
    <w:rsid w:val="6CFD7CAA"/>
    <w:rsid w:val="6D026DE8"/>
    <w:rsid w:val="6D0316B2"/>
    <w:rsid w:val="6D06067F"/>
    <w:rsid w:val="6D087337"/>
    <w:rsid w:val="6D0E1321"/>
    <w:rsid w:val="6D104BE0"/>
    <w:rsid w:val="6D132371"/>
    <w:rsid w:val="6D1338DD"/>
    <w:rsid w:val="6D153789"/>
    <w:rsid w:val="6D2F0CD8"/>
    <w:rsid w:val="6D3B4D97"/>
    <w:rsid w:val="6D487B73"/>
    <w:rsid w:val="6D4A2408"/>
    <w:rsid w:val="6D4B1E5A"/>
    <w:rsid w:val="6D54588F"/>
    <w:rsid w:val="6D5E70E9"/>
    <w:rsid w:val="6D6729D8"/>
    <w:rsid w:val="6D6E09F2"/>
    <w:rsid w:val="6D852386"/>
    <w:rsid w:val="6DBD67AE"/>
    <w:rsid w:val="6DCF3167"/>
    <w:rsid w:val="6DD54C21"/>
    <w:rsid w:val="6DD8026E"/>
    <w:rsid w:val="6DF453C2"/>
    <w:rsid w:val="6DFC1EB9"/>
    <w:rsid w:val="6E005A16"/>
    <w:rsid w:val="6E25722B"/>
    <w:rsid w:val="6E3363CE"/>
    <w:rsid w:val="6E3C316F"/>
    <w:rsid w:val="6E453429"/>
    <w:rsid w:val="6E456275"/>
    <w:rsid w:val="6E4E36BD"/>
    <w:rsid w:val="6E5161B1"/>
    <w:rsid w:val="6E6127F4"/>
    <w:rsid w:val="6E631ECC"/>
    <w:rsid w:val="6E860D5E"/>
    <w:rsid w:val="6E880670"/>
    <w:rsid w:val="6E9028F6"/>
    <w:rsid w:val="6EB7522E"/>
    <w:rsid w:val="6EC002E5"/>
    <w:rsid w:val="6EC64ECD"/>
    <w:rsid w:val="6EC71F62"/>
    <w:rsid w:val="6ECD2CED"/>
    <w:rsid w:val="6EE1422E"/>
    <w:rsid w:val="6EE449F0"/>
    <w:rsid w:val="6EF14DB2"/>
    <w:rsid w:val="6EFA06B8"/>
    <w:rsid w:val="6F046E40"/>
    <w:rsid w:val="6F1743AC"/>
    <w:rsid w:val="6F3E2352"/>
    <w:rsid w:val="6F4656AB"/>
    <w:rsid w:val="6F5C1867"/>
    <w:rsid w:val="6F5C3F48"/>
    <w:rsid w:val="6F61462B"/>
    <w:rsid w:val="6F6D6714"/>
    <w:rsid w:val="6F8561D3"/>
    <w:rsid w:val="6F926B42"/>
    <w:rsid w:val="6F9C2017"/>
    <w:rsid w:val="6FB37BE5"/>
    <w:rsid w:val="6FC2450B"/>
    <w:rsid w:val="6FC7059A"/>
    <w:rsid w:val="6FCA64CD"/>
    <w:rsid w:val="6FE112C4"/>
    <w:rsid w:val="6FF069FB"/>
    <w:rsid w:val="6FF36A80"/>
    <w:rsid w:val="6FFB0619"/>
    <w:rsid w:val="6FFD7D02"/>
    <w:rsid w:val="6FFE22D2"/>
    <w:rsid w:val="6FFE5F86"/>
    <w:rsid w:val="70020E6A"/>
    <w:rsid w:val="701A60AC"/>
    <w:rsid w:val="702149D3"/>
    <w:rsid w:val="7021684B"/>
    <w:rsid w:val="70217D0F"/>
    <w:rsid w:val="7045295A"/>
    <w:rsid w:val="7047527A"/>
    <w:rsid w:val="704E0CBB"/>
    <w:rsid w:val="7056241A"/>
    <w:rsid w:val="707B2CB1"/>
    <w:rsid w:val="70924B19"/>
    <w:rsid w:val="70952588"/>
    <w:rsid w:val="70A34833"/>
    <w:rsid w:val="70B75478"/>
    <w:rsid w:val="70BA7DE6"/>
    <w:rsid w:val="70BF74C3"/>
    <w:rsid w:val="70D56048"/>
    <w:rsid w:val="70DA3248"/>
    <w:rsid w:val="70DB6936"/>
    <w:rsid w:val="70EF7D54"/>
    <w:rsid w:val="71027F8C"/>
    <w:rsid w:val="711D41EA"/>
    <w:rsid w:val="712A4901"/>
    <w:rsid w:val="71391F94"/>
    <w:rsid w:val="7148395C"/>
    <w:rsid w:val="715D7335"/>
    <w:rsid w:val="717159EA"/>
    <w:rsid w:val="71777F8A"/>
    <w:rsid w:val="719340CC"/>
    <w:rsid w:val="71946BA2"/>
    <w:rsid w:val="71A412EF"/>
    <w:rsid w:val="71B106B0"/>
    <w:rsid w:val="71B61A42"/>
    <w:rsid w:val="71BB267E"/>
    <w:rsid w:val="71BE59CD"/>
    <w:rsid w:val="71C32243"/>
    <w:rsid w:val="71D94178"/>
    <w:rsid w:val="71E258E0"/>
    <w:rsid w:val="71E450CA"/>
    <w:rsid w:val="71EA7F5E"/>
    <w:rsid w:val="71EE0EE5"/>
    <w:rsid w:val="71F773F9"/>
    <w:rsid w:val="71FB452B"/>
    <w:rsid w:val="72025ED5"/>
    <w:rsid w:val="720A7322"/>
    <w:rsid w:val="72137E38"/>
    <w:rsid w:val="721E571E"/>
    <w:rsid w:val="721F7D69"/>
    <w:rsid w:val="7225336C"/>
    <w:rsid w:val="722E3E35"/>
    <w:rsid w:val="72442376"/>
    <w:rsid w:val="724A7260"/>
    <w:rsid w:val="724B68D9"/>
    <w:rsid w:val="724D0AFE"/>
    <w:rsid w:val="72541E8D"/>
    <w:rsid w:val="725E62FA"/>
    <w:rsid w:val="72860473"/>
    <w:rsid w:val="7299364D"/>
    <w:rsid w:val="72C16C93"/>
    <w:rsid w:val="72D66A82"/>
    <w:rsid w:val="72D67597"/>
    <w:rsid w:val="72E43D31"/>
    <w:rsid w:val="72FF6E9B"/>
    <w:rsid w:val="73027148"/>
    <w:rsid w:val="7305147C"/>
    <w:rsid w:val="731A30F8"/>
    <w:rsid w:val="731E4502"/>
    <w:rsid w:val="73331C99"/>
    <w:rsid w:val="733A7EE8"/>
    <w:rsid w:val="734D11ED"/>
    <w:rsid w:val="735A55D3"/>
    <w:rsid w:val="73621B80"/>
    <w:rsid w:val="7375174D"/>
    <w:rsid w:val="73795D83"/>
    <w:rsid w:val="737B6EF7"/>
    <w:rsid w:val="73850D73"/>
    <w:rsid w:val="738B56FD"/>
    <w:rsid w:val="738B5D82"/>
    <w:rsid w:val="73911760"/>
    <w:rsid w:val="73993FFB"/>
    <w:rsid w:val="739F2E93"/>
    <w:rsid w:val="73A60FE9"/>
    <w:rsid w:val="73B8143C"/>
    <w:rsid w:val="73C06788"/>
    <w:rsid w:val="73D813D5"/>
    <w:rsid w:val="73DB1F8F"/>
    <w:rsid w:val="73DE1B70"/>
    <w:rsid w:val="73E6120B"/>
    <w:rsid w:val="741378E4"/>
    <w:rsid w:val="74213FF1"/>
    <w:rsid w:val="743138C9"/>
    <w:rsid w:val="74346455"/>
    <w:rsid w:val="74497E8D"/>
    <w:rsid w:val="744F70D5"/>
    <w:rsid w:val="74542618"/>
    <w:rsid w:val="746B1062"/>
    <w:rsid w:val="746E2181"/>
    <w:rsid w:val="74836A59"/>
    <w:rsid w:val="74890514"/>
    <w:rsid w:val="74957A1D"/>
    <w:rsid w:val="74976F8C"/>
    <w:rsid w:val="749C28D6"/>
    <w:rsid w:val="74AC2DBE"/>
    <w:rsid w:val="74B03CF2"/>
    <w:rsid w:val="74B4279D"/>
    <w:rsid w:val="74C959EF"/>
    <w:rsid w:val="74D13C69"/>
    <w:rsid w:val="74D226D8"/>
    <w:rsid w:val="74D951DD"/>
    <w:rsid w:val="74E36253"/>
    <w:rsid w:val="74F273DA"/>
    <w:rsid w:val="74F600B5"/>
    <w:rsid w:val="750C6A4F"/>
    <w:rsid w:val="75102AF5"/>
    <w:rsid w:val="751C1B98"/>
    <w:rsid w:val="751C3CCD"/>
    <w:rsid w:val="752E2E69"/>
    <w:rsid w:val="753F1C14"/>
    <w:rsid w:val="75404D65"/>
    <w:rsid w:val="75410DEE"/>
    <w:rsid w:val="754B45FC"/>
    <w:rsid w:val="754C4FE3"/>
    <w:rsid w:val="75780005"/>
    <w:rsid w:val="75846F2D"/>
    <w:rsid w:val="758E56B6"/>
    <w:rsid w:val="759D26FD"/>
    <w:rsid w:val="75BA7DC9"/>
    <w:rsid w:val="75C158E1"/>
    <w:rsid w:val="75D75BBF"/>
    <w:rsid w:val="75F25C45"/>
    <w:rsid w:val="75F8173D"/>
    <w:rsid w:val="75FE15A4"/>
    <w:rsid w:val="76027B21"/>
    <w:rsid w:val="76087EFE"/>
    <w:rsid w:val="762F3987"/>
    <w:rsid w:val="763146BA"/>
    <w:rsid w:val="76373F9F"/>
    <w:rsid w:val="763C17CD"/>
    <w:rsid w:val="7651209F"/>
    <w:rsid w:val="765A396A"/>
    <w:rsid w:val="765B5EE0"/>
    <w:rsid w:val="76625186"/>
    <w:rsid w:val="76683B29"/>
    <w:rsid w:val="76694515"/>
    <w:rsid w:val="7671183A"/>
    <w:rsid w:val="76795A9A"/>
    <w:rsid w:val="76850BE3"/>
    <w:rsid w:val="768E7AAD"/>
    <w:rsid w:val="769D37DC"/>
    <w:rsid w:val="76AD1FDF"/>
    <w:rsid w:val="76AF483A"/>
    <w:rsid w:val="76C37C6F"/>
    <w:rsid w:val="76C61386"/>
    <w:rsid w:val="76CF1D13"/>
    <w:rsid w:val="76D56664"/>
    <w:rsid w:val="76E81AE6"/>
    <w:rsid w:val="76FD0D45"/>
    <w:rsid w:val="77000835"/>
    <w:rsid w:val="770802F0"/>
    <w:rsid w:val="771025D4"/>
    <w:rsid w:val="77115FC5"/>
    <w:rsid w:val="77196438"/>
    <w:rsid w:val="77326AF1"/>
    <w:rsid w:val="77342D6F"/>
    <w:rsid w:val="77383B2B"/>
    <w:rsid w:val="773B467C"/>
    <w:rsid w:val="77472401"/>
    <w:rsid w:val="775B5775"/>
    <w:rsid w:val="775E0D1F"/>
    <w:rsid w:val="776655B0"/>
    <w:rsid w:val="77685B26"/>
    <w:rsid w:val="777814CA"/>
    <w:rsid w:val="777B5097"/>
    <w:rsid w:val="777E55F4"/>
    <w:rsid w:val="777F79AC"/>
    <w:rsid w:val="77820DEB"/>
    <w:rsid w:val="7792671F"/>
    <w:rsid w:val="7797445D"/>
    <w:rsid w:val="77986D62"/>
    <w:rsid w:val="77A015C8"/>
    <w:rsid w:val="77A92E90"/>
    <w:rsid w:val="77B650A0"/>
    <w:rsid w:val="77CE0481"/>
    <w:rsid w:val="77E42D9F"/>
    <w:rsid w:val="77E43CB3"/>
    <w:rsid w:val="77EC7456"/>
    <w:rsid w:val="77EE7D89"/>
    <w:rsid w:val="77EF0483"/>
    <w:rsid w:val="77F54C8C"/>
    <w:rsid w:val="78131205"/>
    <w:rsid w:val="781911C5"/>
    <w:rsid w:val="781A279F"/>
    <w:rsid w:val="782500E0"/>
    <w:rsid w:val="782F5811"/>
    <w:rsid w:val="78384A59"/>
    <w:rsid w:val="783B343E"/>
    <w:rsid w:val="78491B75"/>
    <w:rsid w:val="784A2663"/>
    <w:rsid w:val="784A43B3"/>
    <w:rsid w:val="78511348"/>
    <w:rsid w:val="785250C1"/>
    <w:rsid w:val="78564BB1"/>
    <w:rsid w:val="78581051"/>
    <w:rsid w:val="786228CD"/>
    <w:rsid w:val="786F0FB8"/>
    <w:rsid w:val="78714DF4"/>
    <w:rsid w:val="78721CEF"/>
    <w:rsid w:val="787234C6"/>
    <w:rsid w:val="78756296"/>
    <w:rsid w:val="788334CC"/>
    <w:rsid w:val="78933114"/>
    <w:rsid w:val="78B20233"/>
    <w:rsid w:val="78D12FAA"/>
    <w:rsid w:val="78D855C6"/>
    <w:rsid w:val="78FC0536"/>
    <w:rsid w:val="78FE7954"/>
    <w:rsid w:val="792151BF"/>
    <w:rsid w:val="79315979"/>
    <w:rsid w:val="79424F4F"/>
    <w:rsid w:val="795831E5"/>
    <w:rsid w:val="796E7E54"/>
    <w:rsid w:val="79756315"/>
    <w:rsid w:val="79765CDA"/>
    <w:rsid w:val="797C76D7"/>
    <w:rsid w:val="798B6ADC"/>
    <w:rsid w:val="79971D97"/>
    <w:rsid w:val="79A47621"/>
    <w:rsid w:val="79AA18D2"/>
    <w:rsid w:val="79AB6836"/>
    <w:rsid w:val="79AF7C77"/>
    <w:rsid w:val="79C56A19"/>
    <w:rsid w:val="79D957CA"/>
    <w:rsid w:val="79DA621C"/>
    <w:rsid w:val="79ED729C"/>
    <w:rsid w:val="7A0A78E3"/>
    <w:rsid w:val="7A2465E9"/>
    <w:rsid w:val="7A364577"/>
    <w:rsid w:val="7A5213A8"/>
    <w:rsid w:val="7A54735F"/>
    <w:rsid w:val="7A5A319C"/>
    <w:rsid w:val="7A5B64AE"/>
    <w:rsid w:val="7A5C5D83"/>
    <w:rsid w:val="7A681FA7"/>
    <w:rsid w:val="7A6963D8"/>
    <w:rsid w:val="7A8D6E37"/>
    <w:rsid w:val="7AA21823"/>
    <w:rsid w:val="7AA7070E"/>
    <w:rsid w:val="7AA900DE"/>
    <w:rsid w:val="7AA936C9"/>
    <w:rsid w:val="7AB12D4C"/>
    <w:rsid w:val="7AC9574D"/>
    <w:rsid w:val="7AD37F76"/>
    <w:rsid w:val="7AF32BF3"/>
    <w:rsid w:val="7AF771AA"/>
    <w:rsid w:val="7B063D79"/>
    <w:rsid w:val="7B095F0A"/>
    <w:rsid w:val="7B0A6CF0"/>
    <w:rsid w:val="7B116B6D"/>
    <w:rsid w:val="7B190BA4"/>
    <w:rsid w:val="7B334D35"/>
    <w:rsid w:val="7B36137C"/>
    <w:rsid w:val="7B3A2568"/>
    <w:rsid w:val="7B51165F"/>
    <w:rsid w:val="7B6F5B5B"/>
    <w:rsid w:val="7B7415FA"/>
    <w:rsid w:val="7B765886"/>
    <w:rsid w:val="7B7C4D25"/>
    <w:rsid w:val="7B893C25"/>
    <w:rsid w:val="7B8B5C40"/>
    <w:rsid w:val="7B90640C"/>
    <w:rsid w:val="7B922E29"/>
    <w:rsid w:val="7BAB0D70"/>
    <w:rsid w:val="7BBC11CF"/>
    <w:rsid w:val="7BBF79A8"/>
    <w:rsid w:val="7BC24F1F"/>
    <w:rsid w:val="7BE129E3"/>
    <w:rsid w:val="7BE23EB3"/>
    <w:rsid w:val="7BE91898"/>
    <w:rsid w:val="7BF72207"/>
    <w:rsid w:val="7C161B08"/>
    <w:rsid w:val="7C3A2FA7"/>
    <w:rsid w:val="7C541407"/>
    <w:rsid w:val="7C5840BF"/>
    <w:rsid w:val="7C6D071B"/>
    <w:rsid w:val="7C84107F"/>
    <w:rsid w:val="7C9378B1"/>
    <w:rsid w:val="7C9909ED"/>
    <w:rsid w:val="7C9C2291"/>
    <w:rsid w:val="7CA12173"/>
    <w:rsid w:val="7CA46921"/>
    <w:rsid w:val="7CA56991"/>
    <w:rsid w:val="7CA71E0B"/>
    <w:rsid w:val="7CB85E09"/>
    <w:rsid w:val="7CFE3A42"/>
    <w:rsid w:val="7CFF1519"/>
    <w:rsid w:val="7D013878"/>
    <w:rsid w:val="7D0F508E"/>
    <w:rsid w:val="7D17450A"/>
    <w:rsid w:val="7D1943FF"/>
    <w:rsid w:val="7D2557AC"/>
    <w:rsid w:val="7D3F099E"/>
    <w:rsid w:val="7D4B01E2"/>
    <w:rsid w:val="7D533A52"/>
    <w:rsid w:val="7D5B43D0"/>
    <w:rsid w:val="7D6243C6"/>
    <w:rsid w:val="7D76523E"/>
    <w:rsid w:val="7D781E69"/>
    <w:rsid w:val="7D7B5075"/>
    <w:rsid w:val="7D832173"/>
    <w:rsid w:val="7D8A3C14"/>
    <w:rsid w:val="7D8C5B06"/>
    <w:rsid w:val="7D934401"/>
    <w:rsid w:val="7D953960"/>
    <w:rsid w:val="7D961406"/>
    <w:rsid w:val="7D9B1948"/>
    <w:rsid w:val="7DA56991"/>
    <w:rsid w:val="7DA623C2"/>
    <w:rsid w:val="7DA737B9"/>
    <w:rsid w:val="7DB639FC"/>
    <w:rsid w:val="7DFC1A33"/>
    <w:rsid w:val="7DFF0E02"/>
    <w:rsid w:val="7E070C8C"/>
    <w:rsid w:val="7E0800A0"/>
    <w:rsid w:val="7E0C521E"/>
    <w:rsid w:val="7E0E7E19"/>
    <w:rsid w:val="7E1840CC"/>
    <w:rsid w:val="7E1964D0"/>
    <w:rsid w:val="7E2A3B50"/>
    <w:rsid w:val="7E303249"/>
    <w:rsid w:val="7E525E1A"/>
    <w:rsid w:val="7E555123"/>
    <w:rsid w:val="7E557656"/>
    <w:rsid w:val="7E7538B7"/>
    <w:rsid w:val="7E841CD2"/>
    <w:rsid w:val="7E844BCE"/>
    <w:rsid w:val="7E8D660B"/>
    <w:rsid w:val="7E920963"/>
    <w:rsid w:val="7E9433D2"/>
    <w:rsid w:val="7E992085"/>
    <w:rsid w:val="7EB47F46"/>
    <w:rsid w:val="7EB94600"/>
    <w:rsid w:val="7ECF7C45"/>
    <w:rsid w:val="7ED82860"/>
    <w:rsid w:val="7EF45DB1"/>
    <w:rsid w:val="7EFD2358"/>
    <w:rsid w:val="7EFF5324"/>
    <w:rsid w:val="7F03165A"/>
    <w:rsid w:val="7F077A20"/>
    <w:rsid w:val="7F077BC2"/>
    <w:rsid w:val="7F09267A"/>
    <w:rsid w:val="7F2B23E6"/>
    <w:rsid w:val="7F2B4123"/>
    <w:rsid w:val="7F3426C9"/>
    <w:rsid w:val="7F3B065C"/>
    <w:rsid w:val="7F3E0944"/>
    <w:rsid w:val="7F3E5DC7"/>
    <w:rsid w:val="7F4379D1"/>
    <w:rsid w:val="7F4C0ABC"/>
    <w:rsid w:val="7F5C2ED4"/>
    <w:rsid w:val="7F5E061E"/>
    <w:rsid w:val="7F643B5C"/>
    <w:rsid w:val="7F8A3D01"/>
    <w:rsid w:val="7F8B6823"/>
    <w:rsid w:val="7F9B25D3"/>
    <w:rsid w:val="7F9C4EBD"/>
    <w:rsid w:val="7FAD310E"/>
    <w:rsid w:val="7FCD6742"/>
    <w:rsid w:val="7FD83999"/>
    <w:rsid w:val="7FE44850"/>
    <w:rsid w:val="7FE546A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65"/>
    <w:autoRedefine/>
    <w:qFormat/>
    <w:uiPriority w:val="0"/>
    <w:pPr>
      <w:keepNext/>
      <w:keepLines/>
      <w:spacing w:line="440" w:lineRule="exact"/>
      <w:jc w:val="center"/>
      <w:outlineLvl w:val="0"/>
    </w:pPr>
    <w:rPr>
      <w:b/>
      <w:bCs/>
      <w:kern w:val="44"/>
      <w:sz w:val="44"/>
      <w:szCs w:val="44"/>
    </w:rPr>
  </w:style>
  <w:style w:type="paragraph" w:styleId="7">
    <w:name w:val="heading 2"/>
    <w:basedOn w:val="1"/>
    <w:next w:val="1"/>
    <w:link w:val="198"/>
    <w:autoRedefine/>
    <w:qFormat/>
    <w:uiPriority w:val="0"/>
    <w:pPr>
      <w:keepNext/>
      <w:keepLines/>
      <w:spacing w:line="440" w:lineRule="exact"/>
      <w:jc w:val="left"/>
      <w:outlineLvl w:val="1"/>
    </w:pPr>
    <w:rPr>
      <w:rFonts w:ascii="Arial" w:hAnsi="Arial" w:eastAsia="黑体"/>
      <w:b/>
      <w:bCs/>
      <w:szCs w:val="32"/>
    </w:rPr>
  </w:style>
  <w:style w:type="paragraph" w:styleId="8">
    <w:name w:val="heading 3"/>
    <w:basedOn w:val="1"/>
    <w:next w:val="1"/>
    <w:link w:val="154"/>
    <w:autoRedefine/>
    <w:qFormat/>
    <w:uiPriority w:val="0"/>
    <w:pPr>
      <w:keepNext/>
      <w:keepLines/>
      <w:spacing w:line="415" w:lineRule="auto"/>
      <w:outlineLvl w:val="2"/>
    </w:pPr>
    <w:rPr>
      <w:b/>
      <w:bCs/>
      <w:kern w:val="0"/>
      <w:sz w:val="32"/>
      <w:szCs w:val="32"/>
    </w:rPr>
  </w:style>
  <w:style w:type="paragraph" w:styleId="9">
    <w:name w:val="heading 4"/>
    <w:basedOn w:val="1"/>
    <w:next w:val="1"/>
    <w:autoRedefine/>
    <w:qFormat/>
    <w:uiPriority w:val="0"/>
    <w:pPr>
      <w:keepNext/>
      <w:keepLines/>
      <w:spacing w:line="374" w:lineRule="auto"/>
      <w:outlineLvl w:val="3"/>
    </w:pPr>
    <w:rPr>
      <w:rFonts w:ascii="Arial" w:hAnsi="Arial" w:eastAsia="黑体"/>
      <w:b/>
      <w:bCs/>
      <w:sz w:val="28"/>
      <w:szCs w:val="28"/>
    </w:rPr>
  </w:style>
  <w:style w:type="paragraph" w:styleId="10">
    <w:name w:val="heading 5"/>
    <w:basedOn w:val="1"/>
    <w:next w:val="1"/>
    <w:link w:val="131"/>
    <w:autoRedefine/>
    <w:qFormat/>
    <w:uiPriority w:val="0"/>
    <w:pPr>
      <w:keepNext/>
      <w:keepLines/>
      <w:spacing w:line="376" w:lineRule="auto"/>
      <w:outlineLvl w:val="4"/>
    </w:pPr>
    <w:rPr>
      <w:b/>
      <w:bCs/>
      <w:sz w:val="28"/>
      <w:szCs w:val="28"/>
    </w:rPr>
  </w:style>
  <w:style w:type="paragraph" w:styleId="11">
    <w:name w:val="heading 6"/>
    <w:basedOn w:val="1"/>
    <w:next w:val="1"/>
    <w:autoRedefine/>
    <w:qFormat/>
    <w:uiPriority w:val="0"/>
    <w:pPr>
      <w:keepNext/>
      <w:keepLines/>
      <w:widowControl/>
      <w:tabs>
        <w:tab w:val="left" w:pos="1440"/>
      </w:tabs>
      <w:spacing w:line="319" w:lineRule="auto"/>
      <w:ind w:left="1152" w:hanging="1152"/>
      <w:jc w:val="left"/>
      <w:outlineLvl w:val="5"/>
    </w:pPr>
    <w:rPr>
      <w:rFonts w:ascii="Arial" w:hAnsi="Arial" w:eastAsia="黑体"/>
      <w:b/>
      <w:bCs/>
      <w:kern w:val="0"/>
      <w:sz w:val="24"/>
    </w:rPr>
  </w:style>
  <w:style w:type="paragraph" w:styleId="12">
    <w:name w:val="heading 7"/>
    <w:basedOn w:val="1"/>
    <w:next w:val="1"/>
    <w:autoRedefine/>
    <w:qFormat/>
    <w:uiPriority w:val="0"/>
    <w:pPr>
      <w:keepNext/>
      <w:keepLines/>
      <w:widowControl/>
      <w:tabs>
        <w:tab w:val="left" w:pos="2520"/>
      </w:tabs>
      <w:spacing w:line="319" w:lineRule="auto"/>
      <w:ind w:left="1296" w:hanging="1296"/>
      <w:jc w:val="left"/>
      <w:outlineLvl w:val="6"/>
    </w:pPr>
    <w:rPr>
      <w:b/>
      <w:bCs/>
      <w:kern w:val="0"/>
      <w:sz w:val="24"/>
    </w:rPr>
  </w:style>
  <w:style w:type="paragraph" w:styleId="13">
    <w:name w:val="heading 8"/>
    <w:basedOn w:val="1"/>
    <w:next w:val="1"/>
    <w:autoRedefine/>
    <w:qFormat/>
    <w:uiPriority w:val="0"/>
    <w:pPr>
      <w:keepNext/>
      <w:keepLines/>
      <w:widowControl/>
      <w:tabs>
        <w:tab w:val="left" w:pos="1440"/>
      </w:tabs>
      <w:spacing w:line="319" w:lineRule="auto"/>
      <w:ind w:left="1440" w:hanging="1440"/>
      <w:jc w:val="left"/>
      <w:outlineLvl w:val="7"/>
    </w:pPr>
    <w:rPr>
      <w:rFonts w:ascii="Arial" w:hAnsi="Arial" w:eastAsia="黑体"/>
      <w:kern w:val="0"/>
      <w:sz w:val="24"/>
    </w:rPr>
  </w:style>
  <w:style w:type="paragraph" w:styleId="14">
    <w:name w:val="heading 9"/>
    <w:basedOn w:val="1"/>
    <w:next w:val="1"/>
    <w:autoRedefine/>
    <w:qFormat/>
    <w:uiPriority w:val="0"/>
    <w:pPr>
      <w:keepNext/>
      <w:keepLines/>
      <w:widowControl/>
      <w:tabs>
        <w:tab w:val="left" w:pos="1584"/>
      </w:tabs>
      <w:spacing w:line="319" w:lineRule="auto"/>
      <w:ind w:left="1584" w:hanging="1584"/>
      <w:jc w:val="left"/>
      <w:outlineLvl w:val="8"/>
    </w:pPr>
    <w:rPr>
      <w:rFonts w:ascii="Arial" w:hAnsi="Arial" w:eastAsia="黑体"/>
      <w:kern w:val="0"/>
      <w:szCs w:val="21"/>
    </w:rPr>
  </w:style>
  <w:style w:type="character" w:default="1" w:styleId="48">
    <w:name w:val="Default Paragraph Font"/>
    <w:autoRedefine/>
    <w:semiHidden/>
    <w:unhideWhenUsed/>
    <w:qFormat/>
    <w:uiPriority w:val="1"/>
  </w:style>
  <w:style w:type="table" w:default="1" w:styleId="46">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1"/>
    <w:autoRedefine/>
    <w:qFormat/>
    <w:uiPriority w:val="0"/>
    <w:pPr>
      <w:spacing w:line="360" w:lineRule="auto"/>
      <w:ind w:firstLine="200" w:firstLineChars="200"/>
    </w:pPr>
    <w:rPr>
      <w:rFonts w:ascii="宋体"/>
      <w:szCs w:val="20"/>
    </w:rPr>
  </w:style>
  <w:style w:type="paragraph" w:styleId="3">
    <w:name w:val="Body Text Indent"/>
    <w:basedOn w:val="1"/>
    <w:next w:val="4"/>
    <w:autoRedefine/>
    <w:qFormat/>
    <w:uiPriority w:val="0"/>
    <w:pPr>
      <w:ind w:left="420" w:leftChars="200"/>
    </w:pPr>
  </w:style>
  <w:style w:type="paragraph" w:styleId="4">
    <w:name w:val="envelope return"/>
    <w:basedOn w:val="1"/>
    <w:next w:val="5"/>
    <w:autoRedefine/>
    <w:qFormat/>
    <w:uiPriority w:val="0"/>
    <w:pPr>
      <w:snapToGrid w:val="0"/>
    </w:pPr>
    <w:rPr>
      <w:rFonts w:ascii="Arial" w:hAnsi="Arial"/>
    </w:rPr>
  </w:style>
  <w:style w:type="paragraph" w:styleId="5">
    <w:name w:val="toc 7"/>
    <w:basedOn w:val="1"/>
    <w:next w:val="1"/>
    <w:autoRedefine/>
    <w:qFormat/>
    <w:uiPriority w:val="39"/>
    <w:pPr>
      <w:ind w:left="1260"/>
      <w:jc w:val="left"/>
    </w:pPr>
    <w:rPr>
      <w:sz w:val="18"/>
      <w:szCs w:val="18"/>
    </w:rPr>
  </w:style>
  <w:style w:type="paragraph" w:styleId="15">
    <w:name w:val="table of authorities"/>
    <w:basedOn w:val="1"/>
    <w:next w:val="1"/>
    <w:autoRedefine/>
    <w:unhideWhenUsed/>
    <w:qFormat/>
    <w:uiPriority w:val="0"/>
    <w:pPr>
      <w:ind w:left="420" w:leftChars="200"/>
    </w:pPr>
  </w:style>
  <w:style w:type="paragraph" w:styleId="16">
    <w:name w:val="Normal Indent"/>
    <w:basedOn w:val="1"/>
    <w:next w:val="2"/>
    <w:autoRedefine/>
    <w:qFormat/>
    <w:uiPriority w:val="0"/>
    <w:pPr>
      <w:ind w:firstLine="420" w:firstLineChars="200"/>
    </w:pPr>
  </w:style>
  <w:style w:type="paragraph" w:styleId="17">
    <w:name w:val="Document Map"/>
    <w:basedOn w:val="1"/>
    <w:autoRedefine/>
    <w:qFormat/>
    <w:uiPriority w:val="0"/>
    <w:pPr>
      <w:shd w:val="clear" w:color="auto" w:fill="000080"/>
    </w:pPr>
  </w:style>
  <w:style w:type="paragraph" w:styleId="18">
    <w:name w:val="annotation text"/>
    <w:basedOn w:val="1"/>
    <w:link w:val="115"/>
    <w:autoRedefine/>
    <w:qFormat/>
    <w:uiPriority w:val="0"/>
    <w:pPr>
      <w:jc w:val="left"/>
    </w:pPr>
  </w:style>
  <w:style w:type="paragraph" w:styleId="19">
    <w:name w:val="Body Text 3"/>
    <w:basedOn w:val="1"/>
    <w:autoRedefine/>
    <w:qFormat/>
    <w:uiPriority w:val="0"/>
    <w:rPr>
      <w:rFonts w:ascii="宋体"/>
      <w:sz w:val="24"/>
      <w:szCs w:val="20"/>
    </w:rPr>
  </w:style>
  <w:style w:type="paragraph" w:styleId="20">
    <w:name w:val="Body Text"/>
    <w:basedOn w:val="1"/>
    <w:link w:val="143"/>
    <w:autoRedefine/>
    <w:qFormat/>
    <w:uiPriority w:val="0"/>
  </w:style>
  <w:style w:type="paragraph" w:styleId="21">
    <w:name w:val="Block Text"/>
    <w:basedOn w:val="1"/>
    <w:next w:val="22"/>
    <w:autoRedefine/>
    <w:qFormat/>
    <w:uiPriority w:val="0"/>
    <w:pPr>
      <w:spacing w:line="400" w:lineRule="exact"/>
      <w:ind w:left="-359" w:leftChars="-171" w:right="31" w:rightChars="15" w:firstLine="980" w:firstLineChars="350"/>
    </w:pPr>
    <w:rPr>
      <w:rFonts w:ascii="宋体" w:hAnsi="宋体"/>
      <w:sz w:val="28"/>
      <w:szCs w:val="32"/>
    </w:rPr>
  </w:style>
  <w:style w:type="paragraph" w:styleId="22">
    <w:name w:val="Body Text Indent 3"/>
    <w:basedOn w:val="1"/>
    <w:next w:val="1"/>
    <w:autoRedefine/>
    <w:qFormat/>
    <w:uiPriority w:val="0"/>
    <w:pPr>
      <w:ind w:left="420" w:leftChars="200"/>
    </w:pPr>
    <w:rPr>
      <w:sz w:val="16"/>
      <w:szCs w:val="16"/>
    </w:rPr>
  </w:style>
  <w:style w:type="paragraph" w:styleId="23">
    <w:name w:val="toc 5"/>
    <w:basedOn w:val="1"/>
    <w:next w:val="1"/>
    <w:autoRedefine/>
    <w:qFormat/>
    <w:uiPriority w:val="39"/>
    <w:pPr>
      <w:ind w:left="840"/>
      <w:jc w:val="left"/>
    </w:pPr>
    <w:rPr>
      <w:sz w:val="18"/>
      <w:szCs w:val="18"/>
    </w:rPr>
  </w:style>
  <w:style w:type="paragraph" w:styleId="24">
    <w:name w:val="toc 3"/>
    <w:basedOn w:val="1"/>
    <w:next w:val="1"/>
    <w:autoRedefine/>
    <w:qFormat/>
    <w:uiPriority w:val="39"/>
    <w:pPr>
      <w:ind w:left="420"/>
      <w:jc w:val="left"/>
    </w:pPr>
    <w:rPr>
      <w:i/>
      <w:iCs/>
      <w:sz w:val="20"/>
      <w:szCs w:val="20"/>
    </w:rPr>
  </w:style>
  <w:style w:type="paragraph" w:styleId="25">
    <w:name w:val="Plain Text"/>
    <w:basedOn w:val="1"/>
    <w:next w:val="1"/>
    <w:link w:val="138"/>
    <w:autoRedefine/>
    <w:qFormat/>
    <w:uiPriority w:val="0"/>
    <w:rPr>
      <w:rFonts w:ascii="Courier New" w:hAnsi="Courier New"/>
      <w:szCs w:val="20"/>
    </w:rPr>
  </w:style>
  <w:style w:type="paragraph" w:styleId="26">
    <w:name w:val="toc 8"/>
    <w:basedOn w:val="1"/>
    <w:next w:val="1"/>
    <w:autoRedefine/>
    <w:qFormat/>
    <w:uiPriority w:val="39"/>
    <w:pPr>
      <w:ind w:left="1470"/>
      <w:jc w:val="left"/>
    </w:pPr>
    <w:rPr>
      <w:sz w:val="18"/>
      <w:szCs w:val="18"/>
    </w:rPr>
  </w:style>
  <w:style w:type="paragraph" w:styleId="27">
    <w:name w:val="Date"/>
    <w:basedOn w:val="1"/>
    <w:next w:val="1"/>
    <w:autoRedefine/>
    <w:qFormat/>
    <w:uiPriority w:val="0"/>
    <w:rPr>
      <w:sz w:val="24"/>
      <w:szCs w:val="20"/>
    </w:rPr>
  </w:style>
  <w:style w:type="paragraph" w:styleId="28">
    <w:name w:val="Body Text Indent 2"/>
    <w:basedOn w:val="1"/>
    <w:autoRedefine/>
    <w:qFormat/>
    <w:uiPriority w:val="0"/>
    <w:pPr>
      <w:spacing w:line="360" w:lineRule="exact"/>
      <w:ind w:firstLine="600" w:firstLineChars="250"/>
      <w:jc w:val="left"/>
    </w:pPr>
    <w:rPr>
      <w:sz w:val="24"/>
    </w:rPr>
  </w:style>
  <w:style w:type="paragraph" w:styleId="29">
    <w:name w:val="Balloon Text"/>
    <w:basedOn w:val="1"/>
    <w:autoRedefine/>
    <w:qFormat/>
    <w:uiPriority w:val="0"/>
    <w:rPr>
      <w:sz w:val="18"/>
      <w:szCs w:val="18"/>
    </w:rPr>
  </w:style>
  <w:style w:type="paragraph" w:styleId="30">
    <w:name w:val="footer"/>
    <w:basedOn w:val="1"/>
    <w:next w:val="1"/>
    <w:autoRedefine/>
    <w:qFormat/>
    <w:uiPriority w:val="0"/>
    <w:pPr>
      <w:tabs>
        <w:tab w:val="center" w:pos="4153"/>
        <w:tab w:val="right" w:pos="8306"/>
      </w:tabs>
      <w:snapToGrid w:val="0"/>
      <w:jc w:val="left"/>
    </w:pPr>
    <w:rPr>
      <w:sz w:val="18"/>
      <w:szCs w:val="18"/>
    </w:rPr>
  </w:style>
  <w:style w:type="paragraph" w:styleId="3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pPr>
      <w:jc w:val="left"/>
    </w:pPr>
    <w:rPr>
      <w:b/>
      <w:bCs/>
      <w:caps/>
      <w:sz w:val="20"/>
      <w:szCs w:val="20"/>
    </w:rPr>
  </w:style>
  <w:style w:type="paragraph" w:styleId="33">
    <w:name w:val="toc 4"/>
    <w:basedOn w:val="1"/>
    <w:next w:val="1"/>
    <w:autoRedefine/>
    <w:qFormat/>
    <w:uiPriority w:val="39"/>
    <w:pPr>
      <w:ind w:left="630"/>
      <w:jc w:val="left"/>
    </w:pPr>
    <w:rPr>
      <w:sz w:val="18"/>
      <w:szCs w:val="18"/>
    </w:rPr>
  </w:style>
  <w:style w:type="paragraph" w:styleId="34">
    <w:name w:val="List"/>
    <w:basedOn w:val="1"/>
    <w:autoRedefine/>
    <w:qFormat/>
    <w:uiPriority w:val="0"/>
    <w:pPr>
      <w:ind w:left="420" w:hanging="420"/>
    </w:pPr>
  </w:style>
  <w:style w:type="paragraph" w:styleId="35">
    <w:name w:val="footnote text"/>
    <w:basedOn w:val="1"/>
    <w:autoRedefine/>
    <w:qFormat/>
    <w:uiPriority w:val="0"/>
    <w:rPr>
      <w:sz w:val="20"/>
      <w:szCs w:val="20"/>
    </w:rPr>
  </w:style>
  <w:style w:type="paragraph" w:styleId="36">
    <w:name w:val="toc 6"/>
    <w:basedOn w:val="1"/>
    <w:next w:val="1"/>
    <w:autoRedefine/>
    <w:qFormat/>
    <w:uiPriority w:val="39"/>
    <w:pPr>
      <w:ind w:left="1050"/>
      <w:jc w:val="left"/>
    </w:pPr>
    <w:rPr>
      <w:sz w:val="18"/>
      <w:szCs w:val="18"/>
    </w:rPr>
  </w:style>
  <w:style w:type="paragraph" w:styleId="37">
    <w:name w:val="table of figures"/>
    <w:basedOn w:val="1"/>
    <w:next w:val="1"/>
    <w:autoRedefine/>
    <w:qFormat/>
    <w:uiPriority w:val="0"/>
    <w:pPr>
      <w:ind w:left="200" w:leftChars="200" w:hanging="200" w:hangingChars="200"/>
    </w:pPr>
  </w:style>
  <w:style w:type="paragraph" w:styleId="38">
    <w:name w:val="toc 2"/>
    <w:basedOn w:val="1"/>
    <w:next w:val="1"/>
    <w:autoRedefine/>
    <w:qFormat/>
    <w:uiPriority w:val="39"/>
    <w:pPr>
      <w:ind w:left="210"/>
      <w:jc w:val="left"/>
    </w:pPr>
    <w:rPr>
      <w:smallCaps/>
      <w:sz w:val="20"/>
      <w:szCs w:val="20"/>
    </w:rPr>
  </w:style>
  <w:style w:type="paragraph" w:styleId="39">
    <w:name w:val="toc 9"/>
    <w:basedOn w:val="1"/>
    <w:next w:val="1"/>
    <w:autoRedefine/>
    <w:qFormat/>
    <w:uiPriority w:val="39"/>
    <w:pPr>
      <w:ind w:left="1680"/>
      <w:jc w:val="left"/>
    </w:pPr>
    <w:rPr>
      <w:sz w:val="18"/>
      <w:szCs w:val="18"/>
    </w:rPr>
  </w:style>
  <w:style w:type="paragraph" w:styleId="40">
    <w:name w:val="Body Text 2"/>
    <w:basedOn w:val="1"/>
    <w:autoRedefine/>
    <w:qFormat/>
    <w:uiPriority w:val="0"/>
    <w:pPr>
      <w:spacing w:line="440" w:lineRule="exact"/>
    </w:pPr>
    <w:rPr>
      <w:sz w:val="28"/>
    </w:rPr>
  </w:style>
  <w:style w:type="paragraph" w:styleId="41">
    <w:name w:val="HTML Preformatted"/>
    <w:basedOn w:val="1"/>
    <w:link w:val="117"/>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2">
    <w:name w:val="Normal (Web)"/>
    <w:basedOn w:val="1"/>
    <w:autoRedefine/>
    <w:qFormat/>
    <w:uiPriority w:val="99"/>
    <w:pPr>
      <w:widowControl/>
      <w:spacing w:beforeAutospacing="1" w:afterAutospacing="1"/>
      <w:jc w:val="left"/>
    </w:pPr>
    <w:rPr>
      <w:rFonts w:ascii="宋体" w:hAnsi="宋体" w:cs="宋体"/>
      <w:kern w:val="0"/>
      <w:sz w:val="24"/>
    </w:rPr>
  </w:style>
  <w:style w:type="paragraph" w:styleId="43">
    <w:name w:val="Title"/>
    <w:basedOn w:val="1"/>
    <w:autoRedefine/>
    <w:qFormat/>
    <w:uiPriority w:val="0"/>
    <w:pPr>
      <w:adjustRightInd w:val="0"/>
      <w:spacing w:line="420" w:lineRule="atLeast"/>
      <w:jc w:val="center"/>
      <w:textAlignment w:val="baseline"/>
      <w:outlineLvl w:val="0"/>
    </w:pPr>
    <w:rPr>
      <w:rFonts w:ascii="Arial" w:hAnsi="Arial"/>
      <w:b/>
      <w:kern w:val="0"/>
      <w:sz w:val="32"/>
      <w:szCs w:val="20"/>
    </w:rPr>
  </w:style>
  <w:style w:type="paragraph" w:styleId="44">
    <w:name w:val="annotation subject"/>
    <w:basedOn w:val="18"/>
    <w:next w:val="18"/>
    <w:autoRedefine/>
    <w:qFormat/>
    <w:uiPriority w:val="0"/>
    <w:rPr>
      <w:b/>
      <w:bCs/>
    </w:rPr>
  </w:style>
  <w:style w:type="paragraph" w:styleId="45">
    <w:name w:val="Body Text First Indent"/>
    <w:basedOn w:val="20"/>
    <w:autoRedefine/>
    <w:qFormat/>
    <w:uiPriority w:val="0"/>
    <w:pPr>
      <w:ind w:firstLine="420" w:firstLineChars="100"/>
    </w:pPr>
  </w:style>
  <w:style w:type="table" w:styleId="47">
    <w:name w:val="Table Grid"/>
    <w:basedOn w:val="4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Strong"/>
    <w:basedOn w:val="48"/>
    <w:autoRedefine/>
    <w:qFormat/>
    <w:uiPriority w:val="0"/>
    <w:rPr>
      <w:b/>
      <w:bCs/>
    </w:rPr>
  </w:style>
  <w:style w:type="character" w:styleId="50">
    <w:name w:val="page number"/>
    <w:basedOn w:val="48"/>
    <w:autoRedefine/>
    <w:qFormat/>
    <w:uiPriority w:val="0"/>
  </w:style>
  <w:style w:type="character" w:styleId="51">
    <w:name w:val="FollowedHyperlink"/>
    <w:autoRedefine/>
    <w:qFormat/>
    <w:uiPriority w:val="0"/>
    <w:rPr>
      <w:color w:val="333333"/>
      <w:u w:val="none"/>
    </w:rPr>
  </w:style>
  <w:style w:type="character" w:styleId="52">
    <w:name w:val="Emphasis"/>
    <w:autoRedefine/>
    <w:qFormat/>
    <w:uiPriority w:val="0"/>
    <w:rPr>
      <w:color w:val="CC0033"/>
    </w:rPr>
  </w:style>
  <w:style w:type="character" w:styleId="53">
    <w:name w:val="HTML Definition"/>
    <w:autoRedefine/>
    <w:qFormat/>
    <w:uiPriority w:val="0"/>
  </w:style>
  <w:style w:type="character" w:styleId="54">
    <w:name w:val="HTML Typewriter"/>
    <w:autoRedefine/>
    <w:qFormat/>
    <w:uiPriority w:val="0"/>
    <w:rPr>
      <w:rFonts w:hint="default" w:ascii="monospace" w:hAnsi="monospace" w:eastAsia="monospace" w:cs="monospace"/>
      <w:sz w:val="20"/>
    </w:rPr>
  </w:style>
  <w:style w:type="character" w:styleId="55">
    <w:name w:val="HTML Acronym"/>
    <w:basedOn w:val="48"/>
    <w:autoRedefine/>
    <w:qFormat/>
    <w:uiPriority w:val="0"/>
  </w:style>
  <w:style w:type="character" w:styleId="56">
    <w:name w:val="HTML Variable"/>
    <w:autoRedefine/>
    <w:qFormat/>
    <w:uiPriority w:val="0"/>
  </w:style>
  <w:style w:type="character" w:styleId="57">
    <w:name w:val="Hyperlink"/>
    <w:basedOn w:val="48"/>
    <w:autoRedefine/>
    <w:qFormat/>
    <w:uiPriority w:val="99"/>
    <w:rPr>
      <w:color w:val="333333"/>
      <w:u w:val="none"/>
    </w:rPr>
  </w:style>
  <w:style w:type="character" w:styleId="58">
    <w:name w:val="HTML Code"/>
    <w:autoRedefine/>
    <w:qFormat/>
    <w:uiPriority w:val="0"/>
    <w:rPr>
      <w:rFonts w:hint="default" w:ascii="monospace" w:hAnsi="monospace" w:eastAsia="monospace" w:cs="monospace"/>
      <w:sz w:val="20"/>
    </w:rPr>
  </w:style>
  <w:style w:type="character" w:styleId="59">
    <w:name w:val="annotation reference"/>
    <w:autoRedefine/>
    <w:qFormat/>
    <w:uiPriority w:val="0"/>
    <w:rPr>
      <w:sz w:val="21"/>
      <w:szCs w:val="21"/>
    </w:rPr>
  </w:style>
  <w:style w:type="character" w:styleId="60">
    <w:name w:val="HTML Cite"/>
    <w:autoRedefine/>
    <w:qFormat/>
    <w:uiPriority w:val="0"/>
  </w:style>
  <w:style w:type="character" w:styleId="61">
    <w:name w:val="footnote reference"/>
    <w:autoRedefine/>
    <w:qFormat/>
    <w:uiPriority w:val="0"/>
    <w:rPr>
      <w:vertAlign w:val="superscript"/>
    </w:rPr>
  </w:style>
  <w:style w:type="character" w:styleId="62">
    <w:name w:val="HTML Keyboard"/>
    <w:autoRedefine/>
    <w:qFormat/>
    <w:uiPriority w:val="0"/>
    <w:rPr>
      <w:rFonts w:ascii="monospace" w:hAnsi="monospace" w:eastAsia="monospace" w:cs="monospace"/>
      <w:sz w:val="20"/>
    </w:rPr>
  </w:style>
  <w:style w:type="character" w:styleId="63">
    <w:name w:val="HTML Sample"/>
    <w:autoRedefine/>
    <w:qFormat/>
    <w:uiPriority w:val="0"/>
    <w:rPr>
      <w:rFonts w:hint="default" w:ascii="monospace" w:hAnsi="monospace" w:eastAsia="monospace" w:cs="monospace"/>
    </w:rPr>
  </w:style>
  <w:style w:type="character" w:customStyle="1" w:styleId="64">
    <w:name w:val="标题 2 Char"/>
    <w:autoRedefine/>
    <w:qFormat/>
    <w:uiPriority w:val="0"/>
    <w:rPr>
      <w:rFonts w:ascii="Arial" w:hAnsi="Arial" w:eastAsia="黑体"/>
      <w:b/>
      <w:bCs/>
      <w:kern w:val="2"/>
      <w:sz w:val="21"/>
      <w:szCs w:val="32"/>
      <w:lang w:val="en-US" w:eastAsia="zh-CN" w:bidi="ar-SA"/>
    </w:rPr>
  </w:style>
  <w:style w:type="character" w:customStyle="1" w:styleId="65">
    <w:name w:val="标题 1 Char"/>
    <w:link w:val="6"/>
    <w:autoRedefine/>
    <w:qFormat/>
    <w:uiPriority w:val="0"/>
    <w:rPr>
      <w:rFonts w:eastAsia="宋体"/>
      <w:b/>
      <w:bCs/>
      <w:kern w:val="44"/>
      <w:sz w:val="44"/>
      <w:szCs w:val="44"/>
      <w:lang w:val="en-US" w:eastAsia="zh-CN" w:bidi="ar-SA"/>
    </w:rPr>
  </w:style>
  <w:style w:type="paragraph" w:customStyle="1" w:styleId="66">
    <w:name w:val="正文（缩进）"/>
    <w:basedOn w:val="1"/>
    <w:next w:val="21"/>
    <w:autoRedefine/>
    <w:qFormat/>
    <w:uiPriority w:val="0"/>
    <w:pPr>
      <w:widowControl w:val="0"/>
      <w:spacing w:before="156" w:beforeLines="50" w:after="156" w:afterLines="50" w:line="360" w:lineRule="auto"/>
      <w:ind w:firstLine="480" w:firstLineChars="200"/>
      <w:textAlignment w:val="auto"/>
    </w:pPr>
    <w:rPr>
      <w:color w:val="auto"/>
      <w:kern w:val="2"/>
      <w:sz w:val="24"/>
      <w:szCs w:val="24"/>
      <w:u w:val="none" w:color="auto"/>
    </w:rPr>
  </w:style>
  <w:style w:type="paragraph" w:customStyle="1" w:styleId="67">
    <w:name w:val="正文文字 8"/>
    <w:basedOn w:val="1"/>
    <w:next w:val="1"/>
    <w:autoRedefine/>
    <w:qFormat/>
    <w:uiPriority w:val="0"/>
    <w:pPr>
      <w:ind w:left="240"/>
    </w:pPr>
    <w:rPr>
      <w:sz w:val="16"/>
    </w:rPr>
  </w:style>
  <w:style w:type="paragraph" w:styleId="68">
    <w:name w:val="List Paragraph"/>
    <w:basedOn w:val="1"/>
    <w:autoRedefine/>
    <w:qFormat/>
    <w:uiPriority w:val="34"/>
    <w:pPr>
      <w:ind w:firstLine="420" w:firstLineChars="200"/>
    </w:pPr>
  </w:style>
  <w:style w:type="paragraph" w:customStyle="1" w:styleId="69">
    <w:name w:val="_Style 62"/>
    <w:basedOn w:val="1"/>
    <w:next w:val="1"/>
    <w:autoRedefine/>
    <w:qFormat/>
    <w:uiPriority w:val="0"/>
    <w:pPr>
      <w:pBdr>
        <w:top w:val="single" w:color="auto" w:sz="6" w:space="1"/>
      </w:pBdr>
      <w:jc w:val="center"/>
    </w:pPr>
    <w:rPr>
      <w:rFonts w:ascii="Arial"/>
      <w:vanish/>
      <w:sz w:val="16"/>
    </w:rPr>
  </w:style>
  <w:style w:type="paragraph" w:customStyle="1" w:styleId="70">
    <w:name w:val="Blockquote"/>
    <w:basedOn w:val="1"/>
    <w:autoRedefine/>
    <w:qFormat/>
    <w:uiPriority w:val="0"/>
    <w:pPr>
      <w:autoSpaceDE w:val="0"/>
      <w:autoSpaceDN w:val="0"/>
      <w:adjustRightInd w:val="0"/>
      <w:ind w:left="360" w:right="360"/>
      <w:jc w:val="left"/>
    </w:pPr>
    <w:rPr>
      <w:kern w:val="0"/>
      <w:sz w:val="24"/>
      <w:szCs w:val="20"/>
    </w:rPr>
  </w:style>
  <w:style w:type="paragraph" w:customStyle="1" w:styleId="71">
    <w:name w:val="表格"/>
    <w:basedOn w:val="1"/>
    <w:autoRedefine/>
    <w:qFormat/>
    <w:uiPriority w:val="0"/>
    <w:pPr>
      <w:jc w:val="center"/>
      <w:textAlignment w:val="center"/>
    </w:pPr>
    <w:rPr>
      <w:rFonts w:ascii="华文细黑" w:hAnsi="华文细黑"/>
      <w:kern w:val="0"/>
      <w:szCs w:val="20"/>
    </w:rPr>
  </w:style>
  <w:style w:type="paragraph" w:customStyle="1" w:styleId="72">
    <w:name w:val="表格文字"/>
    <w:basedOn w:val="1"/>
    <w:autoRedefine/>
    <w:qFormat/>
    <w:uiPriority w:val="0"/>
    <w:pPr>
      <w:adjustRightInd w:val="0"/>
      <w:spacing w:line="420" w:lineRule="atLeast"/>
      <w:jc w:val="left"/>
      <w:textAlignment w:val="baseline"/>
    </w:pPr>
    <w:rPr>
      <w:kern w:val="0"/>
      <w:szCs w:val="20"/>
    </w:rPr>
  </w:style>
  <w:style w:type="paragraph" w:customStyle="1" w:styleId="73">
    <w:name w:val="Char"/>
    <w:basedOn w:val="1"/>
    <w:next w:val="1"/>
    <w:autoRedefine/>
    <w:qFormat/>
    <w:uiPriority w:val="0"/>
    <w:pPr>
      <w:widowControl/>
      <w:spacing w:line="360" w:lineRule="auto"/>
      <w:jc w:val="left"/>
    </w:pPr>
    <w:rPr>
      <w:kern w:val="0"/>
      <w:szCs w:val="20"/>
      <w:lang w:eastAsia="en-US"/>
    </w:rPr>
  </w:style>
  <w:style w:type="paragraph" w:customStyle="1" w:styleId="74">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75">
    <w:name w:val="样式2"/>
    <w:basedOn w:val="8"/>
    <w:autoRedefine/>
    <w:qFormat/>
    <w:uiPriority w:val="0"/>
  </w:style>
  <w:style w:type="paragraph" w:customStyle="1" w:styleId="76">
    <w:name w:val="Default Paragraph Char Char Char Char"/>
    <w:basedOn w:val="1"/>
    <w:next w:val="1"/>
    <w:autoRedefine/>
    <w:qFormat/>
    <w:uiPriority w:val="0"/>
    <w:pPr>
      <w:spacing w:line="360" w:lineRule="auto"/>
    </w:pPr>
    <w:rPr>
      <w:szCs w:val="20"/>
    </w:rPr>
  </w:style>
  <w:style w:type="paragraph" w:customStyle="1" w:styleId="77">
    <w:name w:val="节标题"/>
    <w:basedOn w:val="1"/>
    <w:next w:val="1"/>
    <w:autoRedefine/>
    <w:qFormat/>
    <w:uiPriority w:val="0"/>
    <w:pPr>
      <w:widowControl/>
      <w:spacing w:line="289" w:lineRule="atLeast"/>
      <w:jc w:val="center"/>
      <w:textAlignment w:val="baseline"/>
    </w:pPr>
    <w:rPr>
      <w:color w:val="000000"/>
      <w:kern w:val="0"/>
      <w:sz w:val="28"/>
      <w:szCs w:val="20"/>
      <w:u w:color="000000"/>
    </w:rPr>
  </w:style>
  <w:style w:type="paragraph" w:customStyle="1" w:styleId="78">
    <w:name w:val="默认段落字体 Para Char Char Char Char"/>
    <w:basedOn w:val="1"/>
    <w:autoRedefine/>
    <w:qFormat/>
    <w:uiPriority w:val="0"/>
  </w:style>
  <w:style w:type="paragraph" w:customStyle="1" w:styleId="79">
    <w:name w:val="样式 标题 1 + 黑体 五号"/>
    <w:basedOn w:val="6"/>
    <w:autoRedefine/>
    <w:qFormat/>
    <w:uiPriority w:val="0"/>
    <w:pPr>
      <w:jc w:val="left"/>
    </w:pPr>
    <w:rPr>
      <w:rFonts w:ascii="黑体" w:hAnsi="黑体" w:eastAsia="黑体"/>
      <w:sz w:val="21"/>
    </w:rPr>
  </w:style>
  <w:style w:type="paragraph" w:customStyle="1" w:styleId="80">
    <w:name w:val="样式4"/>
    <w:basedOn w:val="8"/>
    <w:autoRedefine/>
    <w:qFormat/>
    <w:uiPriority w:val="0"/>
    <w:rPr>
      <w:rFonts w:eastAsia="Arial"/>
    </w:rPr>
  </w:style>
  <w:style w:type="paragraph" w:customStyle="1" w:styleId="81">
    <w:name w:val="正文1"/>
    <w:autoRedefine/>
    <w:qFormat/>
    <w:uiPriority w:val="0"/>
    <w:pPr>
      <w:widowControl w:val="0"/>
      <w:adjustRightInd w:val="0"/>
      <w:spacing w:line="312" w:lineRule="atLeast"/>
      <w:jc w:val="both"/>
      <w:textAlignment w:val="baseline"/>
    </w:pPr>
    <w:rPr>
      <w:rFonts w:ascii="宋体" w:hAnsi="Times New Roman" w:eastAsia="宋体" w:cs="宋体"/>
      <w:sz w:val="24"/>
      <w:szCs w:val="24"/>
      <w:lang w:val="en-US" w:eastAsia="zh-CN" w:bidi="ar-SA"/>
    </w:rPr>
  </w:style>
  <w:style w:type="paragraph" w:customStyle="1" w:styleId="82">
    <w:name w:val="列出段落1"/>
    <w:basedOn w:val="1"/>
    <w:autoRedefine/>
    <w:qFormat/>
    <w:uiPriority w:val="0"/>
    <w:pPr>
      <w:ind w:firstLine="200" w:firstLineChars="200"/>
    </w:pPr>
  </w:style>
  <w:style w:type="paragraph" w:customStyle="1" w:styleId="83">
    <w:name w:val="p0 New"/>
    <w:basedOn w:val="1"/>
    <w:autoRedefine/>
    <w:qFormat/>
    <w:uiPriority w:val="0"/>
    <w:pPr>
      <w:widowControl/>
      <w:jc w:val="left"/>
    </w:pPr>
    <w:rPr>
      <w:rFonts w:ascii="宋体" w:hAnsi="宋体" w:cs="宋体"/>
      <w:kern w:val="0"/>
      <w:sz w:val="18"/>
      <w:szCs w:val="18"/>
    </w:rPr>
  </w:style>
  <w:style w:type="paragraph" w:customStyle="1" w:styleId="84">
    <w:name w:val="样式 标题 1 + 黑体 三号 非加粗 居中 段前: 6 磅 段后: 6 磅 行距: 固定值 20 磅"/>
    <w:basedOn w:val="6"/>
    <w:autoRedefine/>
    <w:qFormat/>
    <w:uiPriority w:val="0"/>
    <w:pPr>
      <w:spacing w:line="400" w:lineRule="exact"/>
    </w:pPr>
    <w:rPr>
      <w:rFonts w:ascii="黑体" w:hAnsi="黑体" w:eastAsia="黑体" w:cs="宋体"/>
      <w:b w:val="0"/>
      <w:bCs w:val="0"/>
      <w:sz w:val="32"/>
      <w:szCs w:val="20"/>
    </w:rPr>
  </w:style>
  <w:style w:type="paragraph" w:customStyle="1" w:styleId="85">
    <w:name w:val="_Style 78"/>
    <w:basedOn w:val="6"/>
    <w:next w:val="1"/>
    <w:autoRedefine/>
    <w:qFormat/>
    <w:uiPriority w:val="39"/>
    <w:pPr>
      <w:widowControl/>
      <w:spacing w:before="480" w:line="276" w:lineRule="auto"/>
      <w:jc w:val="left"/>
      <w:outlineLvl w:val="9"/>
    </w:pPr>
    <w:rPr>
      <w:rFonts w:ascii="Cambria" w:hAnsi="Cambria"/>
      <w:color w:val="365F91"/>
      <w:kern w:val="0"/>
      <w:sz w:val="28"/>
      <w:szCs w:val="28"/>
    </w:rPr>
  </w:style>
  <w:style w:type="paragraph" w:customStyle="1" w:styleId="86">
    <w:name w:val="Char1"/>
    <w:basedOn w:val="1"/>
    <w:autoRedefine/>
    <w:qFormat/>
    <w:uiPriority w:val="0"/>
    <w:pPr>
      <w:tabs>
        <w:tab w:val="left" w:pos="360"/>
      </w:tabs>
    </w:pPr>
    <w:rPr>
      <w:sz w:val="24"/>
    </w:rPr>
  </w:style>
  <w:style w:type="paragraph" w:customStyle="1" w:styleId="87">
    <w:name w:val="样式1"/>
    <w:basedOn w:val="8"/>
    <w:autoRedefine/>
    <w:qFormat/>
    <w:uiPriority w:val="0"/>
    <w:rPr>
      <w:rFonts w:eastAsia="Arial"/>
    </w:rPr>
  </w:style>
  <w:style w:type="paragraph" w:customStyle="1" w:styleId="88">
    <w:name w:val="Char Char Char Char Char Char Char Char Char Char Char Char Char"/>
    <w:basedOn w:val="1"/>
    <w:autoRedefine/>
    <w:qFormat/>
    <w:uiPriority w:val="0"/>
  </w:style>
  <w:style w:type="paragraph" w:customStyle="1" w:styleId="89">
    <w:name w:val="p"/>
    <w:basedOn w:val="1"/>
    <w:autoRedefine/>
    <w:qFormat/>
    <w:uiPriority w:val="0"/>
    <w:rPr>
      <w:rFonts w:ascii="宋体"/>
      <w:sz w:val="24"/>
    </w:rPr>
  </w:style>
  <w:style w:type="paragraph" w:customStyle="1" w:styleId="90">
    <w:name w:val="Char Char Char Char"/>
    <w:basedOn w:val="1"/>
    <w:autoRedefine/>
    <w:qFormat/>
    <w:uiPriority w:val="0"/>
  </w:style>
  <w:style w:type="paragraph" w:customStyle="1" w:styleId="91">
    <w:name w:val="_Style 84"/>
    <w:basedOn w:val="1"/>
    <w:next w:val="1"/>
    <w:autoRedefine/>
    <w:qFormat/>
    <w:uiPriority w:val="0"/>
    <w:pPr>
      <w:pBdr>
        <w:bottom w:val="single" w:color="auto" w:sz="6" w:space="1"/>
      </w:pBdr>
      <w:jc w:val="center"/>
    </w:pPr>
    <w:rPr>
      <w:rFonts w:ascii="Arial"/>
      <w:vanish/>
      <w:sz w:val="16"/>
    </w:rPr>
  </w:style>
  <w:style w:type="paragraph" w:customStyle="1" w:styleId="92">
    <w:name w:val="1"/>
    <w:basedOn w:val="1"/>
    <w:next w:val="1"/>
    <w:autoRedefine/>
    <w:qFormat/>
    <w:uiPriority w:val="0"/>
  </w:style>
  <w:style w:type="paragraph" w:customStyle="1" w:styleId="93">
    <w:name w:val="p15"/>
    <w:autoRedefine/>
    <w:qFormat/>
    <w:uiPriority w:val="0"/>
    <w:pPr>
      <w:jc w:val="both"/>
    </w:pPr>
    <w:rPr>
      <w:rFonts w:ascii="宋体" w:hAnsi="Times New Roman" w:eastAsia="宋体" w:cs="宋体"/>
      <w:sz w:val="21"/>
      <w:szCs w:val="21"/>
      <w:lang w:val="en-US" w:eastAsia="zh-CN" w:bidi="ar-SA"/>
    </w:rPr>
  </w:style>
  <w:style w:type="paragraph" w:customStyle="1" w:styleId="94">
    <w:name w:val="样式 标题 2 + Times New Roman 四号 非加粗 段前: 5 磅 段后: 0 磅 行距: 固定值 20..."/>
    <w:basedOn w:val="7"/>
    <w:autoRedefine/>
    <w:qFormat/>
    <w:uiPriority w:val="0"/>
    <w:pPr>
      <w:spacing w:line="400" w:lineRule="exact"/>
    </w:pPr>
    <w:rPr>
      <w:rFonts w:ascii="Times New Roman" w:hAnsi="Times New Roman" w:cs="宋体"/>
      <w:b w:val="0"/>
      <w:bCs w:val="0"/>
      <w:sz w:val="28"/>
      <w:szCs w:val="20"/>
    </w:rPr>
  </w:style>
  <w:style w:type="paragraph" w:customStyle="1" w:styleId="95">
    <w:name w:val="Table Paragraph"/>
    <w:basedOn w:val="1"/>
    <w:autoRedefine/>
    <w:qFormat/>
    <w:uiPriority w:val="0"/>
    <w:pPr>
      <w:autoSpaceDE w:val="0"/>
      <w:autoSpaceDN w:val="0"/>
      <w:jc w:val="left"/>
    </w:pPr>
    <w:rPr>
      <w:rFonts w:ascii="宋体" w:hAnsi="宋体" w:cs="宋体"/>
      <w:kern w:val="0"/>
      <w:sz w:val="22"/>
      <w:szCs w:val="22"/>
      <w:lang w:val="zh-CN"/>
    </w:rPr>
  </w:style>
  <w:style w:type="paragraph" w:customStyle="1" w:styleId="96">
    <w:name w:val="p0"/>
    <w:basedOn w:val="1"/>
    <w:autoRedefine/>
    <w:qFormat/>
    <w:uiPriority w:val="99"/>
    <w:pPr>
      <w:widowControl/>
    </w:pPr>
    <w:rPr>
      <w:kern w:val="0"/>
      <w:szCs w:val="21"/>
    </w:rPr>
  </w:style>
  <w:style w:type="paragraph" w:customStyle="1" w:styleId="97">
    <w:name w:val="样式3"/>
    <w:basedOn w:val="8"/>
    <w:autoRedefine/>
    <w:qFormat/>
    <w:uiPriority w:val="0"/>
    <w:rPr>
      <w:rFonts w:eastAsia="Arial"/>
    </w:rPr>
  </w:style>
  <w:style w:type="paragraph" w:customStyle="1" w:styleId="98">
    <w:name w:val="样式 标题 3 + (中文) 黑体 小四 非加粗 段前: 7.8 磅 段后: 0 磅 行距: 固定值 20 磅"/>
    <w:basedOn w:val="8"/>
    <w:autoRedefine/>
    <w:qFormat/>
    <w:uiPriority w:val="0"/>
    <w:pPr>
      <w:spacing w:line="400" w:lineRule="exact"/>
    </w:pPr>
    <w:rPr>
      <w:rFonts w:eastAsia="黑体" w:cs="宋体"/>
      <w:b w:val="0"/>
      <w:bCs w:val="0"/>
      <w:sz w:val="24"/>
      <w:szCs w:val="20"/>
    </w:rPr>
  </w:style>
  <w:style w:type="paragraph" w:customStyle="1" w:styleId="99">
    <w:name w:val="Char Char Char Char Char Char Char Char Char Char Char Char Char1"/>
    <w:basedOn w:val="1"/>
    <w:autoRedefine/>
    <w:qFormat/>
    <w:uiPriority w:val="0"/>
  </w:style>
  <w:style w:type="paragraph" w:customStyle="1" w:styleId="100">
    <w:name w:val="Char4"/>
    <w:basedOn w:val="1"/>
    <w:autoRedefine/>
    <w:qFormat/>
    <w:uiPriority w:val="0"/>
    <w:pPr>
      <w:widowControl/>
      <w:spacing w:line="360" w:lineRule="auto"/>
      <w:ind w:firstLine="200" w:firstLineChars="200"/>
      <w:textAlignment w:val="baseline"/>
    </w:pPr>
    <w:rPr>
      <w:color w:val="000000"/>
      <w:kern w:val="0"/>
      <w:szCs w:val="20"/>
      <w:u w:color="000000"/>
    </w:rPr>
  </w:style>
  <w:style w:type="paragraph" w:customStyle="1" w:styleId="101">
    <w:name w:val="正文2"/>
    <w:autoRedefine/>
    <w:qFormat/>
    <w:uiPriority w:val="0"/>
    <w:pPr>
      <w:widowControl w:val="0"/>
      <w:jc w:val="both"/>
    </w:pPr>
    <w:rPr>
      <w:rFonts w:ascii="Times New Roman" w:hAnsi="Times New Roman" w:eastAsia="宋体" w:cs="Times New Roman"/>
      <w:lang w:val="en-US" w:eastAsia="zh-CN" w:bidi="ar-SA"/>
    </w:rPr>
  </w:style>
  <w:style w:type="character" w:customStyle="1" w:styleId="102">
    <w:name w:val="first-child"/>
    <w:basedOn w:val="48"/>
    <w:autoRedefine/>
    <w:qFormat/>
    <w:uiPriority w:val="0"/>
  </w:style>
  <w:style w:type="character" w:customStyle="1" w:styleId="103">
    <w:name w:val="Char Char Char Char Char Char"/>
    <w:autoRedefine/>
    <w:qFormat/>
    <w:uiPriority w:val="0"/>
    <w:rPr>
      <w:rFonts w:ascii="Arial" w:hAnsi="Arial" w:eastAsia="黑体"/>
      <w:b/>
      <w:bCs/>
      <w:kern w:val="2"/>
      <w:sz w:val="32"/>
      <w:szCs w:val="32"/>
      <w:lang w:val="en-US" w:eastAsia="zh-CN" w:bidi="ar-SA"/>
    </w:rPr>
  </w:style>
  <w:style w:type="character" w:customStyle="1" w:styleId="104">
    <w:name w:val="l11"/>
    <w:autoRedefine/>
    <w:qFormat/>
    <w:uiPriority w:val="0"/>
    <w:rPr>
      <w:color w:val="999999"/>
    </w:rPr>
  </w:style>
  <w:style w:type="character" w:customStyle="1" w:styleId="105">
    <w:name w:val="Char Char"/>
    <w:autoRedefine/>
    <w:qFormat/>
    <w:uiPriority w:val="0"/>
    <w:rPr>
      <w:rFonts w:ascii="Arial" w:hAnsi="Arial" w:eastAsia="黑体"/>
      <w:b/>
      <w:bCs/>
      <w:kern w:val="2"/>
      <w:sz w:val="32"/>
      <w:szCs w:val="32"/>
      <w:lang w:val="en-US" w:eastAsia="zh-CN" w:bidi="ar-SA"/>
    </w:rPr>
  </w:style>
  <w:style w:type="character" w:customStyle="1" w:styleId="106">
    <w:name w:val="Char Char5"/>
    <w:autoRedefine/>
    <w:qFormat/>
    <w:uiPriority w:val="0"/>
    <w:rPr>
      <w:rFonts w:ascii="Arial" w:hAnsi="Arial" w:eastAsia="黑体"/>
      <w:b/>
      <w:bCs/>
      <w:kern w:val="2"/>
      <w:sz w:val="32"/>
      <w:szCs w:val="32"/>
    </w:rPr>
  </w:style>
  <w:style w:type="character" w:customStyle="1" w:styleId="107">
    <w:name w:val="msg-box28"/>
    <w:basedOn w:val="48"/>
    <w:autoRedefine/>
    <w:qFormat/>
    <w:uiPriority w:val="0"/>
  </w:style>
  <w:style w:type="character" w:customStyle="1" w:styleId="108">
    <w:name w:val="img_title6"/>
    <w:autoRedefine/>
    <w:qFormat/>
    <w:uiPriority w:val="0"/>
    <w:rPr>
      <w:vanish/>
    </w:rPr>
  </w:style>
  <w:style w:type="character" w:customStyle="1" w:styleId="109">
    <w:name w:val="tit12"/>
    <w:autoRedefine/>
    <w:qFormat/>
    <w:uiPriority w:val="0"/>
    <w:rPr>
      <w:color w:val="04A06C"/>
    </w:rPr>
  </w:style>
  <w:style w:type="character" w:customStyle="1" w:styleId="110">
    <w:name w:val="Char Char2"/>
    <w:autoRedefine/>
    <w:qFormat/>
    <w:uiPriority w:val="0"/>
    <w:rPr>
      <w:rFonts w:eastAsia="宋体"/>
      <w:kern w:val="2"/>
      <w:sz w:val="21"/>
      <w:szCs w:val="24"/>
      <w:lang w:val="en-US" w:eastAsia="zh-CN" w:bidi="ar-SA"/>
    </w:rPr>
  </w:style>
  <w:style w:type="character" w:customStyle="1" w:styleId="111">
    <w:name w:val="nostart"/>
    <w:autoRedefine/>
    <w:qFormat/>
    <w:uiPriority w:val="0"/>
    <w:rPr>
      <w:color w:val="FF0000"/>
    </w:rPr>
  </w:style>
  <w:style w:type="character" w:customStyle="1" w:styleId="112">
    <w:name w:val="nostart3"/>
    <w:basedOn w:val="48"/>
    <w:autoRedefine/>
    <w:qFormat/>
    <w:uiPriority w:val="0"/>
  </w:style>
  <w:style w:type="character" w:customStyle="1" w:styleId="113">
    <w:name w:val="img4"/>
    <w:basedOn w:val="48"/>
    <w:autoRedefine/>
    <w:qFormat/>
    <w:uiPriority w:val="0"/>
  </w:style>
  <w:style w:type="character" w:customStyle="1" w:styleId="114">
    <w:name w:val="tit11"/>
    <w:autoRedefine/>
    <w:qFormat/>
    <w:uiPriority w:val="0"/>
    <w:rPr>
      <w:color w:val="B60000"/>
    </w:rPr>
  </w:style>
  <w:style w:type="character" w:customStyle="1" w:styleId="115">
    <w:name w:val="批注文字 Char"/>
    <w:link w:val="18"/>
    <w:autoRedefine/>
    <w:qFormat/>
    <w:uiPriority w:val="0"/>
    <w:rPr>
      <w:rFonts w:eastAsia="宋体"/>
      <w:kern w:val="2"/>
      <w:sz w:val="21"/>
      <w:szCs w:val="24"/>
      <w:lang w:val="en-US" w:eastAsia="zh-CN" w:bidi="ar-SA"/>
    </w:rPr>
  </w:style>
  <w:style w:type="character" w:customStyle="1" w:styleId="116">
    <w:name w:val="over"/>
    <w:autoRedefine/>
    <w:qFormat/>
    <w:uiPriority w:val="0"/>
    <w:rPr>
      <w:color w:val="B60000"/>
    </w:rPr>
  </w:style>
  <w:style w:type="character" w:customStyle="1" w:styleId="117">
    <w:name w:val="HTML 预设格式 Char"/>
    <w:link w:val="41"/>
    <w:autoRedefine/>
    <w:qFormat/>
    <w:uiPriority w:val="0"/>
    <w:rPr>
      <w:rFonts w:ascii="宋体" w:hAnsi="宋体" w:cs="宋体"/>
      <w:sz w:val="24"/>
      <w:szCs w:val="24"/>
    </w:rPr>
  </w:style>
  <w:style w:type="character" w:customStyle="1" w:styleId="118">
    <w:name w:val="l6"/>
    <w:autoRedefine/>
    <w:qFormat/>
    <w:uiPriority w:val="0"/>
    <w:rPr>
      <w:color w:val="999999"/>
    </w:rPr>
  </w:style>
  <w:style w:type="character" w:customStyle="1" w:styleId="119">
    <w:name w:val="datetime"/>
    <w:autoRedefine/>
    <w:qFormat/>
    <w:uiPriority w:val="0"/>
    <w:rPr>
      <w:rFonts w:hint="default" w:ascii="Arial" w:hAnsi="Arial" w:cs="Arial"/>
      <w:color w:val="999999"/>
      <w:sz w:val="21"/>
      <w:szCs w:val="21"/>
    </w:rPr>
  </w:style>
  <w:style w:type="character" w:customStyle="1" w:styleId="120">
    <w:name w:val="txt1"/>
    <w:basedOn w:val="48"/>
    <w:autoRedefine/>
    <w:qFormat/>
    <w:uiPriority w:val="0"/>
  </w:style>
  <w:style w:type="character" w:customStyle="1" w:styleId="121">
    <w:name w:val="starting1"/>
    <w:autoRedefine/>
    <w:qFormat/>
    <w:uiPriority w:val="0"/>
    <w:rPr>
      <w:color w:val="339900"/>
    </w:rPr>
  </w:style>
  <w:style w:type="character" w:customStyle="1" w:styleId="122">
    <w:name w:val="starting2"/>
    <w:autoRedefine/>
    <w:qFormat/>
    <w:uiPriority w:val="0"/>
    <w:rPr>
      <w:color w:val="B60000"/>
    </w:rPr>
  </w:style>
  <w:style w:type="character" w:customStyle="1" w:styleId="123">
    <w:name w:val="red"/>
    <w:autoRedefine/>
    <w:qFormat/>
    <w:uiPriority w:val="0"/>
    <w:rPr>
      <w:rFonts w:hint="default" w:ascii="Arial" w:hAnsi="Arial" w:cs="Arial"/>
      <w:color w:val="E50000"/>
    </w:rPr>
  </w:style>
  <w:style w:type="character" w:customStyle="1" w:styleId="124">
    <w:name w:val="Char Char4"/>
    <w:autoRedefine/>
    <w:qFormat/>
    <w:uiPriority w:val="0"/>
    <w:rPr>
      <w:rFonts w:eastAsia="宋体"/>
      <w:b/>
      <w:bCs/>
      <w:kern w:val="44"/>
      <w:sz w:val="44"/>
      <w:szCs w:val="44"/>
      <w:lang w:val="en-US" w:eastAsia="zh-CN" w:bidi="ar-SA"/>
    </w:rPr>
  </w:style>
  <w:style w:type="character" w:customStyle="1" w:styleId="125">
    <w:name w:val="font161"/>
    <w:autoRedefine/>
    <w:qFormat/>
    <w:uiPriority w:val="0"/>
    <w:rPr>
      <w:b/>
      <w:bCs/>
      <w:sz w:val="32"/>
      <w:szCs w:val="32"/>
    </w:rPr>
  </w:style>
  <w:style w:type="character" w:customStyle="1" w:styleId="126">
    <w:name w:val="Char Char8"/>
    <w:autoRedefine/>
    <w:qFormat/>
    <w:uiPriority w:val="0"/>
    <w:rPr>
      <w:rFonts w:ascii="Arial" w:hAnsi="Arial" w:eastAsia="黑体"/>
      <w:b/>
      <w:bCs/>
      <w:kern w:val="2"/>
      <w:sz w:val="32"/>
      <w:szCs w:val="32"/>
      <w:lang w:val="en-US" w:eastAsia="zh-CN" w:bidi="ar-SA"/>
    </w:rPr>
  </w:style>
  <w:style w:type="character" w:customStyle="1" w:styleId="127">
    <w:name w:val="msg-box29"/>
    <w:basedOn w:val="48"/>
    <w:autoRedefine/>
    <w:qFormat/>
    <w:uiPriority w:val="0"/>
  </w:style>
  <w:style w:type="character" w:customStyle="1" w:styleId="128">
    <w:name w:val="over2"/>
    <w:autoRedefine/>
    <w:qFormat/>
    <w:uiPriority w:val="0"/>
    <w:rPr>
      <w:color w:val="999999"/>
    </w:rPr>
  </w:style>
  <w:style w:type="character" w:customStyle="1" w:styleId="129">
    <w:name w:val="img_title7"/>
    <w:autoRedefine/>
    <w:qFormat/>
    <w:uiPriority w:val="0"/>
    <w:rPr>
      <w:vanish/>
    </w:rPr>
  </w:style>
  <w:style w:type="character" w:customStyle="1" w:styleId="130">
    <w:name w:val="l7"/>
    <w:autoRedefine/>
    <w:qFormat/>
    <w:uiPriority w:val="0"/>
    <w:rPr>
      <w:color w:val="999999"/>
    </w:rPr>
  </w:style>
  <w:style w:type="character" w:customStyle="1" w:styleId="131">
    <w:name w:val="标题 5 Char"/>
    <w:link w:val="10"/>
    <w:autoRedefine/>
    <w:qFormat/>
    <w:uiPriority w:val="0"/>
    <w:rPr>
      <w:b/>
      <w:bCs/>
      <w:kern w:val="2"/>
      <w:sz w:val="28"/>
      <w:szCs w:val="28"/>
    </w:rPr>
  </w:style>
  <w:style w:type="character" w:customStyle="1" w:styleId="132">
    <w:name w:val="l51"/>
    <w:autoRedefine/>
    <w:qFormat/>
    <w:uiPriority w:val="0"/>
    <w:rPr>
      <w:color w:val="999999"/>
    </w:rPr>
  </w:style>
  <w:style w:type="character" w:customStyle="1" w:styleId="133">
    <w:name w:val="num81"/>
    <w:basedOn w:val="48"/>
    <w:autoRedefine/>
    <w:qFormat/>
    <w:uiPriority w:val="0"/>
  </w:style>
  <w:style w:type="character" w:customStyle="1" w:styleId="134">
    <w:name w:val="Char Char1"/>
    <w:autoRedefine/>
    <w:qFormat/>
    <w:uiPriority w:val="0"/>
    <w:rPr>
      <w:rFonts w:eastAsia="宋体"/>
      <w:kern w:val="2"/>
      <w:sz w:val="21"/>
      <w:szCs w:val="24"/>
      <w:lang w:val="en-US" w:eastAsia="zh-CN" w:bidi="ar-SA"/>
    </w:rPr>
  </w:style>
  <w:style w:type="character" w:customStyle="1" w:styleId="135">
    <w:name w:val="zs"/>
    <w:autoRedefine/>
    <w:qFormat/>
    <w:uiPriority w:val="0"/>
    <w:rPr>
      <w:color w:val="8D744B"/>
      <w:sz w:val="18"/>
      <w:szCs w:val="18"/>
    </w:rPr>
  </w:style>
  <w:style w:type="character" w:customStyle="1" w:styleId="136">
    <w:name w:val="bigfont"/>
    <w:basedOn w:val="48"/>
    <w:qFormat/>
    <w:uiPriority w:val="0"/>
  </w:style>
  <w:style w:type="character" w:customStyle="1" w:styleId="137">
    <w:name w:val="txt"/>
    <w:autoRedefine/>
    <w:qFormat/>
    <w:uiPriority w:val="0"/>
    <w:rPr>
      <w:color w:val="C0C0C0"/>
    </w:rPr>
  </w:style>
  <w:style w:type="character" w:customStyle="1" w:styleId="138">
    <w:name w:val="纯文本 Char2"/>
    <w:link w:val="25"/>
    <w:autoRedefine/>
    <w:qFormat/>
    <w:uiPriority w:val="0"/>
    <w:rPr>
      <w:rFonts w:ascii="Courier New" w:hAnsi="Courier New" w:eastAsia="宋体"/>
      <w:kern w:val="2"/>
      <w:sz w:val="21"/>
      <w:lang w:val="en-US" w:eastAsia="zh-CN" w:bidi="ar-SA"/>
    </w:rPr>
  </w:style>
  <w:style w:type="character" w:customStyle="1" w:styleId="139">
    <w:name w:val="jg"/>
    <w:basedOn w:val="48"/>
    <w:autoRedefine/>
    <w:qFormat/>
    <w:uiPriority w:val="0"/>
  </w:style>
  <w:style w:type="character" w:customStyle="1" w:styleId="140">
    <w:name w:val="17"/>
    <w:autoRedefine/>
    <w:qFormat/>
    <w:uiPriority w:val="0"/>
    <w:rPr>
      <w:rFonts w:ascii="仿宋_GB2312" w:eastAsia="仿宋_GB2312"/>
      <w:color w:val="auto"/>
      <w:sz w:val="28"/>
      <w:szCs w:val="28"/>
      <w:u w:val="single"/>
    </w:rPr>
  </w:style>
  <w:style w:type="character" w:customStyle="1" w:styleId="141">
    <w:name w:val="job"/>
    <w:basedOn w:val="48"/>
    <w:autoRedefine/>
    <w:qFormat/>
    <w:uiPriority w:val="0"/>
  </w:style>
  <w:style w:type="character" w:customStyle="1" w:styleId="142">
    <w:name w:val="job1"/>
    <w:basedOn w:val="48"/>
    <w:autoRedefine/>
    <w:qFormat/>
    <w:uiPriority w:val="0"/>
  </w:style>
  <w:style w:type="character" w:customStyle="1" w:styleId="143">
    <w:name w:val="正文文本 Char"/>
    <w:link w:val="20"/>
    <w:autoRedefine/>
    <w:qFormat/>
    <w:uiPriority w:val="0"/>
    <w:rPr>
      <w:rFonts w:eastAsia="宋体"/>
      <w:kern w:val="2"/>
      <w:sz w:val="21"/>
      <w:szCs w:val="24"/>
      <w:lang w:val="en-US" w:eastAsia="zh-CN" w:bidi="ar-SA"/>
    </w:rPr>
  </w:style>
  <w:style w:type="character" w:customStyle="1" w:styleId="144">
    <w:name w:val="p05"/>
    <w:basedOn w:val="48"/>
    <w:autoRedefine/>
    <w:qFormat/>
    <w:uiPriority w:val="0"/>
  </w:style>
  <w:style w:type="character" w:customStyle="1" w:styleId="145">
    <w:name w:val="Char Char7"/>
    <w:autoRedefine/>
    <w:qFormat/>
    <w:uiPriority w:val="0"/>
    <w:rPr>
      <w:rFonts w:ascii="Arial" w:hAnsi="Arial" w:eastAsia="黑体"/>
      <w:b/>
      <w:bCs/>
      <w:kern w:val="2"/>
      <w:sz w:val="32"/>
      <w:szCs w:val="32"/>
      <w:lang w:val="en-US" w:eastAsia="zh-CN" w:bidi="ar-SA"/>
    </w:rPr>
  </w:style>
  <w:style w:type="character" w:customStyle="1" w:styleId="146">
    <w:name w:val="over3"/>
    <w:basedOn w:val="48"/>
    <w:autoRedefine/>
    <w:qFormat/>
    <w:uiPriority w:val="0"/>
  </w:style>
  <w:style w:type="character" w:customStyle="1" w:styleId="147">
    <w:name w:val="Char Char3"/>
    <w:autoRedefine/>
    <w:qFormat/>
    <w:uiPriority w:val="0"/>
    <w:rPr>
      <w:rFonts w:ascii="Arial" w:hAnsi="Arial" w:eastAsia="黑体"/>
      <w:b/>
      <w:bCs/>
      <w:kern w:val="2"/>
      <w:sz w:val="32"/>
      <w:szCs w:val="32"/>
      <w:lang w:val="en-US" w:eastAsia="zh-CN" w:bidi="ar-SA"/>
    </w:rPr>
  </w:style>
  <w:style w:type="character" w:customStyle="1" w:styleId="148">
    <w:name w:val="Char Char71"/>
    <w:autoRedefine/>
    <w:qFormat/>
    <w:uiPriority w:val="0"/>
    <w:rPr>
      <w:rFonts w:ascii="Arial" w:hAnsi="Arial" w:eastAsia="黑体"/>
      <w:b/>
      <w:bCs/>
      <w:kern w:val="2"/>
      <w:sz w:val="32"/>
      <w:szCs w:val="32"/>
      <w:lang w:val="en-US" w:eastAsia="zh-CN" w:bidi="ar-SA"/>
    </w:rPr>
  </w:style>
  <w:style w:type="character" w:customStyle="1" w:styleId="149">
    <w:name w:val="num51"/>
    <w:basedOn w:val="48"/>
    <w:autoRedefine/>
    <w:qFormat/>
    <w:uiPriority w:val="0"/>
  </w:style>
  <w:style w:type="character" w:customStyle="1" w:styleId="150">
    <w:name w:val="Char Char Char"/>
    <w:autoRedefine/>
    <w:qFormat/>
    <w:uiPriority w:val="0"/>
    <w:rPr>
      <w:rFonts w:eastAsia="宋体"/>
      <w:b/>
      <w:bCs/>
      <w:kern w:val="44"/>
      <w:sz w:val="44"/>
      <w:szCs w:val="44"/>
      <w:lang w:val="en-US" w:eastAsia="zh-CN" w:bidi="ar-SA"/>
    </w:rPr>
  </w:style>
  <w:style w:type="character" w:customStyle="1" w:styleId="151">
    <w:name w:val="msg-box31"/>
    <w:basedOn w:val="48"/>
    <w:autoRedefine/>
    <w:qFormat/>
    <w:uiPriority w:val="0"/>
  </w:style>
  <w:style w:type="character" w:customStyle="1" w:styleId="152">
    <w:name w:val="msg-box30"/>
    <w:basedOn w:val="48"/>
    <w:autoRedefine/>
    <w:qFormat/>
    <w:uiPriority w:val="0"/>
  </w:style>
  <w:style w:type="character" w:customStyle="1" w:styleId="153">
    <w:name w:val="标题 1 Char Char"/>
    <w:autoRedefine/>
    <w:qFormat/>
    <w:uiPriority w:val="0"/>
    <w:rPr>
      <w:rFonts w:eastAsia="宋体"/>
      <w:b/>
      <w:bCs/>
      <w:kern w:val="44"/>
      <w:sz w:val="44"/>
      <w:szCs w:val="44"/>
      <w:lang w:val="en-US" w:eastAsia="zh-CN" w:bidi="ar-SA"/>
    </w:rPr>
  </w:style>
  <w:style w:type="character" w:customStyle="1" w:styleId="154">
    <w:name w:val="标题 3 Char"/>
    <w:link w:val="8"/>
    <w:autoRedefine/>
    <w:qFormat/>
    <w:uiPriority w:val="0"/>
    <w:rPr>
      <w:b/>
      <w:bCs/>
      <w:sz w:val="32"/>
      <w:szCs w:val="32"/>
    </w:rPr>
  </w:style>
  <w:style w:type="character" w:customStyle="1" w:styleId="155">
    <w:name w:val="c1"/>
    <w:basedOn w:val="48"/>
    <w:autoRedefine/>
    <w:qFormat/>
    <w:uiPriority w:val="0"/>
  </w:style>
  <w:style w:type="character" w:customStyle="1" w:styleId="156">
    <w:name w:val="纯文本 Char1"/>
    <w:autoRedefine/>
    <w:qFormat/>
    <w:uiPriority w:val="0"/>
    <w:rPr>
      <w:rFonts w:ascii="Courier New" w:hAnsi="Courier New" w:eastAsia="宋体"/>
      <w:kern w:val="2"/>
      <w:sz w:val="21"/>
      <w:lang w:val="en-US" w:eastAsia="zh-CN" w:bidi="ar-SA"/>
    </w:rPr>
  </w:style>
  <w:style w:type="character" w:customStyle="1" w:styleId="157">
    <w:name w:val="Char Char Char1"/>
    <w:autoRedefine/>
    <w:qFormat/>
    <w:uiPriority w:val="0"/>
    <w:rPr>
      <w:rFonts w:ascii="Arial" w:hAnsi="Arial" w:eastAsia="黑体"/>
      <w:b/>
      <w:bCs/>
      <w:kern w:val="2"/>
      <w:sz w:val="32"/>
      <w:szCs w:val="32"/>
      <w:lang w:val="en-US" w:eastAsia="zh-CN" w:bidi="ar-SA"/>
    </w:rPr>
  </w:style>
  <w:style w:type="character" w:customStyle="1" w:styleId="158">
    <w:name w:val="l3"/>
    <w:autoRedefine/>
    <w:qFormat/>
    <w:uiPriority w:val="0"/>
    <w:rPr>
      <w:color w:val="999999"/>
    </w:rPr>
  </w:style>
  <w:style w:type="character" w:customStyle="1" w:styleId="159">
    <w:name w:val="tit14"/>
    <w:autoRedefine/>
    <w:qFormat/>
    <w:uiPriority w:val="0"/>
    <w:rPr>
      <w:color w:val="B60000"/>
    </w:rPr>
  </w:style>
  <w:style w:type="character" w:customStyle="1" w:styleId="160">
    <w:name w:val="tit10"/>
    <w:autoRedefine/>
    <w:qFormat/>
    <w:uiPriority w:val="0"/>
    <w:rPr>
      <w:color w:val="B60000"/>
    </w:rPr>
  </w:style>
  <w:style w:type="character" w:customStyle="1" w:styleId="161">
    <w:name w:val="l21"/>
    <w:autoRedefine/>
    <w:qFormat/>
    <w:uiPriority w:val="0"/>
    <w:rPr>
      <w:color w:val="999999"/>
    </w:rPr>
  </w:style>
  <w:style w:type="character" w:customStyle="1" w:styleId="162">
    <w:name w:val="num71"/>
    <w:basedOn w:val="48"/>
    <w:autoRedefine/>
    <w:qFormat/>
    <w:uiPriority w:val="0"/>
  </w:style>
  <w:style w:type="character" w:customStyle="1" w:styleId="163">
    <w:name w:val="标题 2 Char Char"/>
    <w:autoRedefine/>
    <w:qFormat/>
    <w:uiPriority w:val="0"/>
    <w:rPr>
      <w:rFonts w:ascii="Arial" w:hAnsi="Arial" w:eastAsia="黑体"/>
      <w:b/>
      <w:bCs/>
      <w:kern w:val="2"/>
      <w:sz w:val="32"/>
      <w:szCs w:val="32"/>
      <w:lang w:val="en-US" w:eastAsia="zh-CN" w:bidi="ar-SA"/>
    </w:rPr>
  </w:style>
  <w:style w:type="character" w:customStyle="1" w:styleId="164">
    <w:name w:val="buvis"/>
    <w:autoRedefine/>
    <w:qFormat/>
    <w:uiPriority w:val="0"/>
    <w:rPr>
      <w:color w:val="999999"/>
    </w:rPr>
  </w:style>
  <w:style w:type="character" w:customStyle="1" w:styleId="165">
    <w:name w:val="name"/>
    <w:autoRedefine/>
    <w:qFormat/>
    <w:uiPriority w:val="0"/>
    <w:rPr>
      <w:color w:val="444444"/>
      <w:sz w:val="21"/>
      <w:szCs w:val="21"/>
    </w:rPr>
  </w:style>
  <w:style w:type="character" w:customStyle="1" w:styleId="166">
    <w:name w:val="layui-this"/>
    <w:autoRedefine/>
    <w:qFormat/>
    <w:uiPriority w:val="0"/>
    <w:rPr>
      <w:bdr w:val="single" w:color="EEEEEE" w:sz="6" w:space="0"/>
      <w:shd w:val="clear" w:color="auto" w:fill="FFFFFF"/>
    </w:rPr>
  </w:style>
  <w:style w:type="character" w:customStyle="1" w:styleId="167">
    <w:name w:val="标题 2 Char1"/>
    <w:autoRedefine/>
    <w:qFormat/>
    <w:uiPriority w:val="0"/>
    <w:rPr>
      <w:rFonts w:ascii="Arial" w:hAnsi="Arial" w:eastAsia="黑体"/>
      <w:b/>
      <w:bCs/>
      <w:kern w:val="2"/>
      <w:sz w:val="32"/>
      <w:szCs w:val="32"/>
      <w:lang w:val="en-US" w:eastAsia="zh-CN" w:bidi="ar-SA"/>
    </w:rPr>
  </w:style>
  <w:style w:type="character" w:customStyle="1" w:styleId="168">
    <w:name w:val="zw"/>
    <w:autoRedefine/>
    <w:qFormat/>
    <w:uiPriority w:val="0"/>
    <w:rPr>
      <w:color w:val="BD1E22"/>
      <w:sz w:val="22"/>
      <w:szCs w:val="22"/>
    </w:rPr>
  </w:style>
  <w:style w:type="character" w:customStyle="1" w:styleId="169">
    <w:name w:val="name1"/>
    <w:autoRedefine/>
    <w:qFormat/>
    <w:uiPriority w:val="0"/>
    <w:rPr>
      <w:color w:val="695435"/>
      <w:sz w:val="24"/>
      <w:szCs w:val="24"/>
    </w:rPr>
  </w:style>
  <w:style w:type="character" w:customStyle="1" w:styleId="170">
    <w:name w:val="num61"/>
    <w:basedOn w:val="48"/>
    <w:autoRedefine/>
    <w:qFormat/>
    <w:uiPriority w:val="0"/>
  </w:style>
  <w:style w:type="character" w:customStyle="1" w:styleId="171">
    <w:name w:val="mesg-myd"/>
    <w:autoRedefine/>
    <w:qFormat/>
    <w:uiPriority w:val="0"/>
    <w:rPr>
      <w:color w:val="EE0000"/>
    </w:rPr>
  </w:style>
  <w:style w:type="character" w:customStyle="1" w:styleId="172">
    <w:name w:val="c2"/>
    <w:basedOn w:val="48"/>
    <w:autoRedefine/>
    <w:qFormat/>
    <w:uiPriority w:val="0"/>
  </w:style>
  <w:style w:type="character" w:customStyle="1" w:styleId="173">
    <w:name w:val="c3"/>
    <w:basedOn w:val="48"/>
    <w:autoRedefine/>
    <w:qFormat/>
    <w:uiPriority w:val="0"/>
  </w:style>
  <w:style w:type="character" w:customStyle="1" w:styleId="174">
    <w:name w:val="over1"/>
    <w:autoRedefine/>
    <w:qFormat/>
    <w:uiPriority w:val="0"/>
    <w:rPr>
      <w:color w:val="B60000"/>
    </w:rPr>
  </w:style>
  <w:style w:type="character" w:customStyle="1" w:styleId="175">
    <w:name w:val="tit13"/>
    <w:autoRedefine/>
    <w:qFormat/>
    <w:uiPriority w:val="0"/>
    <w:rPr>
      <w:color w:val="FFFFFF"/>
    </w:rPr>
  </w:style>
  <w:style w:type="character" w:customStyle="1" w:styleId="176">
    <w:name w:val="Char Char21"/>
    <w:autoRedefine/>
    <w:qFormat/>
    <w:uiPriority w:val="0"/>
    <w:rPr>
      <w:rFonts w:eastAsia="宋体"/>
      <w:kern w:val="2"/>
      <w:sz w:val="21"/>
      <w:szCs w:val="24"/>
      <w:lang w:val="en-US" w:eastAsia="zh-CN" w:bidi="ar-SA"/>
    </w:rPr>
  </w:style>
  <w:style w:type="character" w:customStyle="1" w:styleId="177">
    <w:name w:val="l41"/>
    <w:autoRedefine/>
    <w:qFormat/>
    <w:uiPriority w:val="0"/>
    <w:rPr>
      <w:color w:val="999999"/>
    </w:rPr>
  </w:style>
  <w:style w:type="character" w:customStyle="1" w:styleId="178">
    <w:name w:val="16"/>
    <w:autoRedefine/>
    <w:qFormat/>
    <w:uiPriority w:val="0"/>
    <w:rPr>
      <w:rFonts w:ascii="仿宋_GB2312" w:eastAsia="仿宋_GB2312"/>
      <w:color w:val="auto"/>
      <w:sz w:val="28"/>
      <w:szCs w:val="28"/>
    </w:rPr>
  </w:style>
  <w:style w:type="character" w:customStyle="1" w:styleId="179">
    <w:name w:val="num31"/>
    <w:basedOn w:val="48"/>
    <w:autoRedefine/>
    <w:qFormat/>
    <w:uiPriority w:val="0"/>
  </w:style>
  <w:style w:type="character" w:customStyle="1" w:styleId="180">
    <w:name w:val="starting4"/>
    <w:basedOn w:val="48"/>
    <w:autoRedefine/>
    <w:qFormat/>
    <w:uiPriority w:val="0"/>
  </w:style>
  <w:style w:type="character" w:customStyle="1" w:styleId="181">
    <w:name w:val="bsharetext"/>
    <w:basedOn w:val="48"/>
    <w:autoRedefine/>
    <w:qFormat/>
    <w:uiPriority w:val="0"/>
  </w:style>
  <w:style w:type="character" w:customStyle="1" w:styleId="182">
    <w:name w:val="unit"/>
    <w:autoRedefine/>
    <w:qFormat/>
    <w:uiPriority w:val="0"/>
    <w:rPr>
      <w:color w:val="999999"/>
    </w:rPr>
  </w:style>
  <w:style w:type="character" w:customStyle="1" w:styleId="183">
    <w:name w:val="nostart2"/>
    <w:autoRedefine/>
    <w:qFormat/>
    <w:uiPriority w:val="0"/>
    <w:rPr>
      <w:color w:val="B60000"/>
    </w:rPr>
  </w:style>
  <w:style w:type="character" w:customStyle="1" w:styleId="184">
    <w:name w:val="纯文本 Char"/>
    <w:autoRedefine/>
    <w:qFormat/>
    <w:uiPriority w:val="99"/>
    <w:rPr>
      <w:rFonts w:ascii="Courier New" w:hAnsi="Courier New" w:eastAsia="宋体"/>
      <w:kern w:val="2"/>
      <w:sz w:val="21"/>
      <w:lang w:val="en-US" w:eastAsia="zh-CN" w:bidi="ar-SA"/>
    </w:rPr>
  </w:style>
  <w:style w:type="character" w:customStyle="1" w:styleId="185">
    <w:name w:val="Char Char81"/>
    <w:autoRedefine/>
    <w:qFormat/>
    <w:uiPriority w:val="0"/>
    <w:rPr>
      <w:rFonts w:ascii="Arial" w:hAnsi="Arial" w:eastAsia="黑体"/>
      <w:b/>
      <w:bCs/>
      <w:kern w:val="2"/>
      <w:sz w:val="32"/>
      <w:szCs w:val="32"/>
      <w:lang w:val="en-US" w:eastAsia="zh-CN" w:bidi="ar-SA"/>
    </w:rPr>
  </w:style>
  <w:style w:type="character" w:customStyle="1" w:styleId="186">
    <w:name w:val="starting"/>
    <w:autoRedefine/>
    <w:qFormat/>
    <w:uiPriority w:val="0"/>
    <w:rPr>
      <w:color w:val="339900"/>
    </w:rPr>
  </w:style>
  <w:style w:type="character" w:customStyle="1" w:styleId="187">
    <w:name w:val="nostart1"/>
    <w:autoRedefine/>
    <w:qFormat/>
    <w:uiPriority w:val="0"/>
    <w:rPr>
      <w:color w:val="FF0000"/>
    </w:rPr>
  </w:style>
  <w:style w:type="character" w:customStyle="1" w:styleId="188">
    <w:name w:val="num210"/>
    <w:basedOn w:val="48"/>
    <w:autoRedefine/>
    <w:qFormat/>
    <w:uiPriority w:val="0"/>
  </w:style>
  <w:style w:type="character" w:customStyle="1" w:styleId="189">
    <w:name w:val="buvis1"/>
    <w:autoRedefine/>
    <w:qFormat/>
    <w:uiPriority w:val="0"/>
    <w:rPr>
      <w:color w:val="CC0000"/>
    </w:rPr>
  </w:style>
  <w:style w:type="character" w:customStyle="1" w:styleId="190">
    <w:name w:val="starting3"/>
    <w:basedOn w:val="48"/>
    <w:autoRedefine/>
    <w:qFormat/>
    <w:uiPriority w:val="0"/>
  </w:style>
  <w:style w:type="character" w:customStyle="1" w:styleId="191">
    <w:name w:val="textcontents"/>
    <w:basedOn w:val="48"/>
    <w:autoRedefine/>
    <w:qFormat/>
    <w:uiPriority w:val="0"/>
  </w:style>
  <w:style w:type="character" w:customStyle="1" w:styleId="192">
    <w:name w:val="num41"/>
    <w:basedOn w:val="48"/>
    <w:autoRedefine/>
    <w:qFormat/>
    <w:uiPriority w:val="0"/>
  </w:style>
  <w:style w:type="character" w:customStyle="1" w:styleId="193">
    <w:name w:val="tit9"/>
    <w:autoRedefine/>
    <w:qFormat/>
    <w:uiPriority w:val="0"/>
    <w:rPr>
      <w:color w:val="B60000"/>
      <w:sz w:val="27"/>
      <w:szCs w:val="27"/>
      <w:bdr w:val="single" w:color="DFCEB8" w:sz="6" w:space="0"/>
      <w:shd w:val="clear" w:color="auto" w:fill="FFFFFF"/>
    </w:rPr>
  </w:style>
  <w:style w:type="character" w:customStyle="1" w:styleId="194">
    <w:name w:val="name2"/>
    <w:autoRedefine/>
    <w:qFormat/>
    <w:uiPriority w:val="0"/>
    <w:rPr>
      <w:color w:val="000000"/>
      <w:sz w:val="39"/>
      <w:szCs w:val="39"/>
    </w:rPr>
  </w:style>
  <w:style w:type="character" w:customStyle="1" w:styleId="195">
    <w:name w:val="img_title8"/>
    <w:autoRedefine/>
    <w:qFormat/>
    <w:uiPriority w:val="0"/>
    <w:rPr>
      <w:vanish/>
    </w:rPr>
  </w:style>
  <w:style w:type="character" w:customStyle="1" w:styleId="196">
    <w:name w:val="tit15"/>
    <w:autoRedefine/>
    <w:qFormat/>
    <w:uiPriority w:val="0"/>
    <w:rPr>
      <w:b/>
      <w:color w:val="B60000"/>
    </w:rPr>
  </w:style>
  <w:style w:type="character" w:customStyle="1" w:styleId="197">
    <w:name w:val="img_title9"/>
    <w:autoRedefine/>
    <w:qFormat/>
    <w:uiPriority w:val="0"/>
    <w:rPr>
      <w:vanish/>
    </w:rPr>
  </w:style>
  <w:style w:type="character" w:customStyle="1" w:styleId="198">
    <w:name w:val="标题 2 Char2"/>
    <w:link w:val="7"/>
    <w:autoRedefine/>
    <w:qFormat/>
    <w:uiPriority w:val="0"/>
    <w:rPr>
      <w:rFonts w:ascii="Arial" w:hAnsi="Arial" w:eastAsia="黑体"/>
      <w:b/>
      <w:bCs/>
      <w:kern w:val="2"/>
      <w:sz w:val="21"/>
      <w:szCs w:val="32"/>
      <w:lang w:val="en-US" w:eastAsia="zh-CN" w:bidi="ar-SA"/>
    </w:rPr>
  </w:style>
  <w:style w:type="paragraph" w:customStyle="1" w:styleId="199">
    <w:name w:val="正文 New"/>
    <w:autoRedefine/>
    <w:qFormat/>
    <w:uiPriority w:val="0"/>
    <w:pPr>
      <w:widowControl w:val="0"/>
      <w:spacing w:line="440" w:lineRule="exact"/>
      <w:ind w:left="357" w:hanging="357"/>
      <w:jc w:val="both"/>
    </w:pPr>
    <w:rPr>
      <w:rFonts w:ascii="Calibri" w:hAnsi="Calibri" w:eastAsia="宋体" w:cs="Times New Roman"/>
      <w:kern w:val="2"/>
      <w:sz w:val="21"/>
      <w:szCs w:val="22"/>
      <w:lang w:val="en-US" w:eastAsia="zh-CN" w:bidi="ar-SA"/>
    </w:rPr>
  </w:style>
  <w:style w:type="character" w:customStyle="1" w:styleId="200">
    <w:name w:val="font12"/>
    <w:basedOn w:val="48"/>
    <w:autoRedefine/>
    <w:qFormat/>
    <w:uiPriority w:val="0"/>
    <w:rPr>
      <w:rFonts w:hint="eastAsia" w:ascii="仿宋" w:hAnsi="仿宋" w:eastAsia="仿宋" w:cs="仿宋"/>
      <w:b/>
      <w:color w:val="000000"/>
      <w:sz w:val="32"/>
      <w:szCs w:val="32"/>
      <w:u w:val="none"/>
    </w:rPr>
  </w:style>
  <w:style w:type="character" w:customStyle="1" w:styleId="201">
    <w:name w:val="font101"/>
    <w:basedOn w:val="48"/>
    <w:autoRedefine/>
    <w:qFormat/>
    <w:uiPriority w:val="0"/>
    <w:rPr>
      <w:rFonts w:hint="default" w:ascii="Times New Roman" w:hAnsi="Times New Roman" w:cs="Times New Roman"/>
      <w:color w:val="000000"/>
      <w:sz w:val="24"/>
      <w:szCs w:val="24"/>
      <w:u w:val="none"/>
    </w:rPr>
  </w:style>
  <w:style w:type="character" w:customStyle="1" w:styleId="202">
    <w:name w:val="font111"/>
    <w:basedOn w:val="48"/>
    <w:autoRedefine/>
    <w:qFormat/>
    <w:uiPriority w:val="0"/>
    <w:rPr>
      <w:rFonts w:ascii="仿宋_GB2312" w:eastAsia="仿宋_GB2312" w:cs="仿宋_GB2312"/>
      <w:color w:val="000000"/>
      <w:sz w:val="24"/>
      <w:szCs w:val="24"/>
      <w:u w:val="none"/>
    </w:rPr>
  </w:style>
  <w:style w:type="character" w:customStyle="1" w:styleId="203">
    <w:name w:val="font91"/>
    <w:basedOn w:val="48"/>
    <w:autoRedefine/>
    <w:qFormat/>
    <w:uiPriority w:val="0"/>
    <w:rPr>
      <w:rFonts w:hint="eastAsia" w:ascii="仿宋" w:hAnsi="仿宋" w:eastAsia="仿宋" w:cs="仿宋"/>
      <w:color w:val="000000"/>
      <w:sz w:val="24"/>
      <w:szCs w:val="24"/>
      <w:u w:val="single"/>
    </w:rPr>
  </w:style>
  <w:style w:type="character" w:customStyle="1" w:styleId="204">
    <w:name w:val="font81"/>
    <w:basedOn w:val="48"/>
    <w:autoRedefine/>
    <w:qFormat/>
    <w:uiPriority w:val="0"/>
    <w:rPr>
      <w:rFonts w:hint="default" w:ascii="Times New Roman" w:hAnsi="Times New Roman" w:cs="Times New Roman"/>
      <w:color w:val="000000"/>
      <w:sz w:val="24"/>
      <w:szCs w:val="24"/>
      <w:u w:val="none"/>
    </w:rPr>
  </w:style>
  <w:style w:type="character" w:customStyle="1" w:styleId="205">
    <w:name w:val="font61"/>
    <w:basedOn w:val="48"/>
    <w:autoRedefine/>
    <w:qFormat/>
    <w:uiPriority w:val="0"/>
    <w:rPr>
      <w:rFonts w:hint="eastAsia" w:ascii="仿宋_GB2312" w:eastAsia="仿宋_GB2312" w:cs="仿宋_GB2312"/>
      <w:color w:val="000000"/>
      <w:sz w:val="24"/>
      <w:szCs w:val="24"/>
      <w:u w:val="none"/>
    </w:rPr>
  </w:style>
  <w:style w:type="character" w:customStyle="1" w:styleId="206">
    <w:name w:val="font21"/>
    <w:basedOn w:val="48"/>
    <w:autoRedefine/>
    <w:qFormat/>
    <w:uiPriority w:val="0"/>
    <w:rPr>
      <w:rFonts w:hint="default" w:ascii="Times New Roman" w:hAnsi="Times New Roman" w:cs="Times New Roman"/>
      <w:color w:val="000000"/>
      <w:sz w:val="24"/>
      <w:szCs w:val="24"/>
      <w:u w:val="none"/>
    </w:rPr>
  </w:style>
  <w:style w:type="character" w:customStyle="1" w:styleId="207">
    <w:name w:val="NormalCharacter"/>
    <w:autoRedefine/>
    <w:semiHidden/>
    <w:qFormat/>
    <w:uiPriority w:val="0"/>
    <w:rPr>
      <w:snapToGrid w:val="0"/>
      <w:kern w:val="0"/>
      <w:sz w:val="32"/>
      <w:szCs w:val="32"/>
      <w:lang w:val="en-US" w:eastAsia="zh-CN" w:bidi="ar-SA"/>
    </w:rPr>
  </w:style>
  <w:style w:type="character" w:customStyle="1" w:styleId="208">
    <w:name w:val="first-child1"/>
    <w:basedOn w:val="48"/>
    <w:autoRedefine/>
    <w:qFormat/>
    <w:uiPriority w:val="0"/>
  </w:style>
  <w:style w:type="character" w:customStyle="1" w:styleId="209">
    <w:name w:val="hover1"/>
    <w:basedOn w:val="48"/>
    <w:autoRedefine/>
    <w:qFormat/>
    <w:uiPriority w:val="0"/>
    <w:rPr>
      <w:color w:val="2590EB"/>
    </w:rPr>
  </w:style>
  <w:style w:type="character" w:customStyle="1" w:styleId="210">
    <w:name w:val="hover2"/>
    <w:basedOn w:val="48"/>
    <w:autoRedefine/>
    <w:qFormat/>
    <w:uiPriority w:val="0"/>
  </w:style>
  <w:style w:type="character" w:customStyle="1" w:styleId="211">
    <w:name w:val="hover3"/>
    <w:basedOn w:val="48"/>
    <w:autoRedefine/>
    <w:qFormat/>
    <w:uiPriority w:val="0"/>
    <w:rPr>
      <w:color w:val="2590EB"/>
    </w:rPr>
  </w:style>
  <w:style w:type="character" w:customStyle="1" w:styleId="212">
    <w:name w:val="hover4"/>
    <w:basedOn w:val="48"/>
    <w:autoRedefine/>
    <w:qFormat/>
    <w:uiPriority w:val="0"/>
    <w:rPr>
      <w:color w:val="2590EB"/>
      <w:shd w:val="clear" w:fill="E9F4FD"/>
    </w:rPr>
  </w:style>
  <w:style w:type="character" w:customStyle="1" w:styleId="213">
    <w:name w:val="mini-outputtext1"/>
    <w:basedOn w:val="48"/>
    <w:autoRedefine/>
    <w:qFormat/>
    <w:uiPriority w:val="0"/>
  </w:style>
  <w:style w:type="character" w:customStyle="1" w:styleId="214">
    <w:name w:val="hover"/>
    <w:basedOn w:val="48"/>
    <w:autoRedefine/>
    <w:qFormat/>
    <w:uiPriority w:val="0"/>
    <w:rPr>
      <w:color w:val="2590EB"/>
    </w:rPr>
  </w:style>
  <w:style w:type="character" w:customStyle="1" w:styleId="215">
    <w:name w:val="15"/>
    <w:basedOn w:val="48"/>
    <w:autoRedefine/>
    <w:qFormat/>
    <w:uiPriority w:val="0"/>
    <w:rPr>
      <w:rFonts w:hint="default" w:ascii="Times New Roman" w:hAnsi="Times New Roman" w:cs="Times New Roman"/>
    </w:rPr>
  </w:style>
  <w:style w:type="character" w:customStyle="1" w:styleId="216">
    <w:name w:val="10"/>
    <w:basedOn w:val="48"/>
    <w:autoRedefine/>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B6A8AB-B2A1-4B55-8D10-16A16BEFEE1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89</Pages>
  <Words>48283</Words>
  <Characters>50590</Characters>
  <Lines>1</Lines>
  <Paragraphs>1</Paragraphs>
  <TotalTime>8</TotalTime>
  <ScaleCrop>false</ScaleCrop>
  <LinksUpToDate>false</LinksUpToDate>
  <CharactersWithSpaces>56550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2016-05-15T08:29:00Z</dcterms:created>
  <dc:creator>dengxiaochun</dc:creator>
  <cp:lastModifiedBy>陈倩倩</cp:lastModifiedBy>
  <cp:lastPrinted>2023-06-08T00:43:00Z</cp:lastPrinted>
  <dcterms:modified xsi:type="dcterms:W3CDTF">2024-09-06T09:50:39Z</dcterms:modified>
  <dc:title>标准交易文件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5730A33761724DDEB94D0C23544583CB_13</vt:lpwstr>
  </property>
</Properties>
</file>